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7" w:type="dxa"/>
        <w:tblCellMar>
          <w:left w:w="70" w:type="dxa"/>
          <w:right w:w="70" w:type="dxa"/>
        </w:tblCellMar>
        <w:tblLook w:val="04A0" w:firstRow="1" w:lastRow="0" w:firstColumn="1" w:lastColumn="0" w:noHBand="0" w:noVBand="1"/>
      </w:tblPr>
      <w:tblGrid>
        <w:gridCol w:w="190"/>
        <w:gridCol w:w="10234"/>
      </w:tblGrid>
      <w:tr w:rsidR="00BF44DE" w:rsidRPr="00BF44DE" w:rsidTr="00BF44DE">
        <w:trPr>
          <w:trHeight w:val="640"/>
        </w:trPr>
        <w:tc>
          <w:tcPr>
            <w:tcW w:w="10417" w:type="dxa"/>
            <w:gridSpan w:val="2"/>
            <w:tcBorders>
              <w:top w:val="single" w:sz="8" w:space="0" w:color="auto"/>
              <w:left w:val="single" w:sz="8" w:space="0" w:color="auto"/>
              <w:bottom w:val="single" w:sz="8" w:space="0" w:color="auto"/>
              <w:right w:val="single" w:sz="8" w:space="0" w:color="000000"/>
            </w:tcBorders>
            <w:shd w:val="clear" w:color="000000" w:fill="164988"/>
            <w:vAlign w:val="center"/>
            <w:hideMark/>
          </w:tcPr>
          <w:p w:rsidR="00BF44DE" w:rsidRPr="00BF44DE" w:rsidRDefault="00BF44DE" w:rsidP="00BF44DE">
            <w:pPr>
              <w:spacing w:after="0" w:line="240" w:lineRule="auto"/>
              <w:jc w:val="center"/>
              <w:rPr>
                <w:rFonts w:ascii="Verdana" w:eastAsia="Times New Roman" w:hAnsi="Verdana" w:cs="Times New Roman"/>
                <w:b/>
                <w:bCs/>
                <w:color w:val="FFFFFF"/>
                <w:lang w:val="nl-BE" w:eastAsia="nl-BE"/>
              </w:rPr>
            </w:pPr>
            <w:bookmarkStart w:id="0" w:name="RANGE!B2:C42"/>
            <w:r w:rsidRPr="00BF44DE">
              <w:rPr>
                <w:rFonts w:ascii="Verdana" w:eastAsia="Times New Roman" w:hAnsi="Verdana" w:cs="Times New Roman"/>
                <w:b/>
                <w:bCs/>
                <w:color w:val="FFFFFF"/>
                <w:lang w:val="nl-BE" w:eastAsia="nl-BE"/>
              </w:rPr>
              <w:t>2018 - RTS28 Compliance Report</w:t>
            </w:r>
            <w:bookmarkEnd w:id="0"/>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val="nl-BE" w:eastAsia="nl-BE"/>
              </w:rPr>
            </w:pPr>
            <w:r w:rsidRPr="00BF44DE">
              <w:rPr>
                <w:rFonts w:ascii="Calibri" w:eastAsia="Times New Roman" w:hAnsi="Calibri" w:cs="Times New Roman"/>
                <w:color w:val="000000"/>
                <w:lang w:val="nl-BE"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rPr>
                <w:rFonts w:ascii="Verdana" w:eastAsia="Times New Roman" w:hAnsi="Verdana" w:cs="Times New Roman"/>
                <w:b/>
                <w:bCs/>
                <w:color w:val="000000"/>
                <w:sz w:val="18"/>
                <w:szCs w:val="18"/>
                <w:lang w:val="nl-BE" w:eastAsia="nl-BE"/>
              </w:rPr>
            </w:pPr>
            <w:r w:rsidRPr="00BF44DE">
              <w:rPr>
                <w:rFonts w:ascii="Verdana" w:eastAsia="Times New Roman" w:hAnsi="Verdana" w:cs="Times New Roman"/>
                <w:b/>
                <w:bCs/>
                <w:color w:val="000000"/>
                <w:sz w:val="18"/>
                <w:szCs w:val="18"/>
                <w:lang w:val="nl-BE" w:eastAsia="nl-BE"/>
              </w:rPr>
              <w:t> </w:t>
            </w:r>
          </w:p>
        </w:tc>
      </w:tr>
      <w:tr w:rsidR="00BF44DE" w:rsidRPr="00BF44DE" w:rsidTr="00BF44DE">
        <w:trPr>
          <w:trHeight w:val="312"/>
        </w:trPr>
        <w:tc>
          <w:tcPr>
            <w:tcW w:w="10417" w:type="dxa"/>
            <w:gridSpan w:val="2"/>
            <w:tcBorders>
              <w:top w:val="nil"/>
              <w:left w:val="single" w:sz="8" w:space="0" w:color="auto"/>
              <w:bottom w:val="nil"/>
              <w:right w:val="single" w:sz="8" w:space="0" w:color="000000"/>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b/>
                <w:bCs/>
                <w:color w:val="000000"/>
                <w:lang w:val="nl-BE" w:eastAsia="nl-BE"/>
              </w:rPr>
            </w:pPr>
            <w:r w:rsidRPr="00BF44DE">
              <w:rPr>
                <w:rFonts w:ascii="Calibri" w:eastAsia="Times New Roman" w:hAnsi="Calibri" w:cs="Times New Roman"/>
                <w:b/>
                <w:bCs/>
                <w:color w:val="000000"/>
                <w:lang w:val="nl-BE" w:eastAsia="nl-BE"/>
              </w:rPr>
              <w:t>Purpose of this document</w:t>
            </w:r>
          </w:p>
        </w:tc>
      </w:tr>
      <w:tr w:rsidR="00BF44DE" w:rsidRPr="00BF44DE" w:rsidTr="00BF44DE">
        <w:trPr>
          <w:trHeight w:val="890"/>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val="nl-BE" w:eastAsia="nl-BE"/>
              </w:rPr>
            </w:pPr>
            <w:r w:rsidRPr="00BF44DE">
              <w:rPr>
                <w:rFonts w:ascii="Calibri" w:eastAsia="Times New Roman" w:hAnsi="Calibri" w:cs="Times New Roman"/>
                <w:color w:val="000000"/>
                <w:lang w:val="nl-BE" w:eastAsia="nl-BE"/>
              </w:rPr>
              <w:t> </w:t>
            </w:r>
          </w:p>
        </w:tc>
        <w:tc>
          <w:tcPr>
            <w:tcW w:w="10234" w:type="dxa"/>
            <w:tcBorders>
              <w:top w:val="nil"/>
              <w:left w:val="nil"/>
              <w:bottom w:val="nil"/>
              <w:right w:val="single" w:sz="8" w:space="0" w:color="auto"/>
            </w:tcBorders>
            <w:shd w:val="clear" w:color="auto" w:fill="auto"/>
            <w:vAlign w:val="center"/>
            <w:hideMark/>
          </w:tcPr>
          <w:p w:rsidR="00BF44DE" w:rsidRPr="00BF44DE" w:rsidRDefault="00BF44DE" w:rsidP="00BF44DE">
            <w:pPr>
              <w:spacing w:after="0" w:line="240" w:lineRule="auto"/>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The report below shows the top 5 execution venues and the top 5 counterparties to which orders were placed or transmitted in terms of trading volumes during the preceding year. As prescribed by MiFID II, each class of financial instrument is covered.</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eastAsia="nl-BE"/>
              </w:rPr>
            </w:pPr>
            <w:r w:rsidRPr="00BF44DE">
              <w:rPr>
                <w:rFonts w:ascii="Calibri" w:eastAsia="Times New Roman" w:hAnsi="Calibri" w:cs="Times New Roman"/>
                <w:color w:val="000000"/>
                <w:lang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rPr>
                <w:rFonts w:ascii="Verdana" w:eastAsia="Times New Roman" w:hAnsi="Verdana" w:cs="Times New Roman"/>
                <w:b/>
                <w:bCs/>
                <w:color w:val="000000"/>
                <w:sz w:val="18"/>
                <w:szCs w:val="18"/>
                <w:lang w:eastAsia="nl-BE"/>
              </w:rPr>
            </w:pPr>
            <w:r w:rsidRPr="00BF44DE">
              <w:rPr>
                <w:rFonts w:ascii="Verdana" w:eastAsia="Times New Roman" w:hAnsi="Verdana" w:cs="Times New Roman"/>
                <w:b/>
                <w:bCs/>
                <w:color w:val="000000"/>
                <w:sz w:val="18"/>
                <w:szCs w:val="18"/>
                <w:lang w:eastAsia="nl-BE"/>
              </w:rPr>
              <w:t> </w:t>
            </w:r>
          </w:p>
        </w:tc>
      </w:tr>
      <w:tr w:rsidR="00BF44DE" w:rsidRPr="00BF44DE" w:rsidTr="00BF44DE">
        <w:trPr>
          <w:trHeight w:val="312"/>
        </w:trPr>
        <w:tc>
          <w:tcPr>
            <w:tcW w:w="10417" w:type="dxa"/>
            <w:gridSpan w:val="2"/>
            <w:tcBorders>
              <w:top w:val="nil"/>
              <w:left w:val="single" w:sz="8" w:space="0" w:color="auto"/>
              <w:bottom w:val="nil"/>
              <w:right w:val="single" w:sz="8" w:space="0" w:color="000000"/>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b/>
                <w:bCs/>
                <w:color w:val="000000"/>
                <w:lang w:val="nl-BE" w:eastAsia="nl-BE"/>
              </w:rPr>
            </w:pPr>
            <w:r w:rsidRPr="00BF44DE">
              <w:rPr>
                <w:rFonts w:ascii="Calibri" w:eastAsia="Times New Roman" w:hAnsi="Calibri" w:cs="Times New Roman"/>
                <w:b/>
                <w:bCs/>
                <w:color w:val="000000"/>
                <w:lang w:val="nl-BE" w:eastAsia="nl-BE"/>
              </w:rPr>
              <w:t>Classes of financial instruments</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val="nl-BE" w:eastAsia="nl-BE"/>
              </w:rPr>
            </w:pPr>
            <w:r w:rsidRPr="00BF44DE">
              <w:rPr>
                <w:rFonts w:ascii="Calibri" w:eastAsia="Times New Roman" w:hAnsi="Calibri" w:cs="Times New Roman"/>
                <w:color w:val="000000"/>
                <w:lang w:val="nl-BE"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(a) Equities – Shares &amp; Depositary Receipts</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eastAsia="nl-BE"/>
              </w:rPr>
            </w:pPr>
            <w:r w:rsidRPr="00BF44DE">
              <w:rPr>
                <w:rFonts w:ascii="Calibri" w:eastAsia="Times New Roman" w:hAnsi="Calibri" w:cs="Times New Roman"/>
                <w:color w:val="000000"/>
                <w:lang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ind w:firstLineChars="200" w:firstLine="360"/>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(i) Tick size liquidity bands 5 and 6 (from 2000 trades per day)</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eastAsia="nl-BE"/>
              </w:rPr>
            </w:pPr>
            <w:r w:rsidRPr="00BF44DE">
              <w:rPr>
                <w:rFonts w:ascii="Calibri" w:eastAsia="Times New Roman" w:hAnsi="Calibri" w:cs="Times New Roman"/>
                <w:color w:val="000000"/>
                <w:lang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ind w:firstLineChars="200" w:firstLine="360"/>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(ii) Tick size liquidity bands 3 and 4 (from 80 to 1999 trades per day)</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eastAsia="nl-BE"/>
              </w:rPr>
            </w:pPr>
            <w:r w:rsidRPr="00BF44DE">
              <w:rPr>
                <w:rFonts w:ascii="Calibri" w:eastAsia="Times New Roman" w:hAnsi="Calibri" w:cs="Times New Roman"/>
                <w:color w:val="000000"/>
                <w:lang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ind w:firstLineChars="200" w:firstLine="360"/>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(iii) Tick size liquidity bands 1 and 2 (from 0 to 79 trades per day)</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eastAsia="nl-BE"/>
              </w:rPr>
            </w:pPr>
            <w:r w:rsidRPr="00BF44DE">
              <w:rPr>
                <w:rFonts w:ascii="Calibri" w:eastAsia="Times New Roman" w:hAnsi="Calibri" w:cs="Times New Roman"/>
                <w:color w:val="000000"/>
                <w:lang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(b) Debt instruments</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val="nl-BE" w:eastAsia="nl-BE"/>
              </w:rPr>
            </w:pPr>
            <w:r w:rsidRPr="00BF44DE">
              <w:rPr>
                <w:rFonts w:ascii="Calibri" w:eastAsia="Times New Roman" w:hAnsi="Calibri" w:cs="Times New Roman"/>
                <w:color w:val="000000"/>
                <w:lang w:val="nl-BE"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ind w:firstLineChars="200" w:firstLine="360"/>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(i) Bonds</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val="nl-BE" w:eastAsia="nl-BE"/>
              </w:rPr>
            </w:pPr>
            <w:r w:rsidRPr="00BF44DE">
              <w:rPr>
                <w:rFonts w:ascii="Calibri" w:eastAsia="Times New Roman" w:hAnsi="Calibri" w:cs="Times New Roman"/>
                <w:color w:val="000000"/>
                <w:lang w:val="nl-BE"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ind w:firstLineChars="200" w:firstLine="360"/>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(ii) Money markets instruments</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val="nl-BE" w:eastAsia="nl-BE"/>
              </w:rPr>
            </w:pPr>
            <w:r w:rsidRPr="00BF44DE">
              <w:rPr>
                <w:rFonts w:ascii="Calibri" w:eastAsia="Times New Roman" w:hAnsi="Calibri" w:cs="Times New Roman"/>
                <w:color w:val="000000"/>
                <w:lang w:val="nl-BE"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(c) Interest rates derivatives</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val="nl-BE" w:eastAsia="nl-BE"/>
              </w:rPr>
            </w:pPr>
            <w:r w:rsidRPr="00BF44DE">
              <w:rPr>
                <w:rFonts w:ascii="Calibri" w:eastAsia="Times New Roman" w:hAnsi="Calibri" w:cs="Times New Roman"/>
                <w:color w:val="000000"/>
                <w:lang w:val="nl-BE"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ind w:firstLineChars="200" w:firstLine="360"/>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(i) Futures and options admitted to trading on a trading venue</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eastAsia="nl-BE"/>
              </w:rPr>
            </w:pPr>
            <w:r w:rsidRPr="00BF44DE">
              <w:rPr>
                <w:rFonts w:ascii="Calibri" w:eastAsia="Times New Roman" w:hAnsi="Calibri" w:cs="Times New Roman"/>
                <w:color w:val="000000"/>
                <w:lang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ind w:firstLineChars="200" w:firstLine="360"/>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(ii) Swaps, forwards, and other interest rates derivatives</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eastAsia="nl-BE"/>
              </w:rPr>
            </w:pPr>
            <w:r w:rsidRPr="00BF44DE">
              <w:rPr>
                <w:rFonts w:ascii="Calibri" w:eastAsia="Times New Roman" w:hAnsi="Calibri" w:cs="Times New Roman"/>
                <w:color w:val="000000"/>
                <w:lang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(d) Credit derivatives</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val="nl-BE" w:eastAsia="nl-BE"/>
              </w:rPr>
            </w:pPr>
            <w:r w:rsidRPr="00BF44DE">
              <w:rPr>
                <w:rFonts w:ascii="Calibri" w:eastAsia="Times New Roman" w:hAnsi="Calibri" w:cs="Times New Roman"/>
                <w:color w:val="000000"/>
                <w:lang w:val="nl-BE"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ind w:firstLineChars="200" w:firstLine="360"/>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(i) Futures and options admitted to trading on a trading venue</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eastAsia="nl-BE"/>
              </w:rPr>
            </w:pPr>
            <w:r w:rsidRPr="00BF44DE">
              <w:rPr>
                <w:rFonts w:ascii="Calibri" w:eastAsia="Times New Roman" w:hAnsi="Calibri" w:cs="Times New Roman"/>
                <w:color w:val="000000"/>
                <w:lang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ind w:firstLineChars="200" w:firstLine="360"/>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(ii) Other credit derivatives</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val="nl-BE" w:eastAsia="nl-BE"/>
              </w:rPr>
            </w:pPr>
            <w:r w:rsidRPr="00BF44DE">
              <w:rPr>
                <w:rFonts w:ascii="Calibri" w:eastAsia="Times New Roman" w:hAnsi="Calibri" w:cs="Times New Roman"/>
                <w:color w:val="000000"/>
                <w:lang w:val="nl-BE"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(e) Currency derivatives</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val="nl-BE" w:eastAsia="nl-BE"/>
              </w:rPr>
            </w:pPr>
            <w:r w:rsidRPr="00BF44DE">
              <w:rPr>
                <w:rFonts w:ascii="Calibri" w:eastAsia="Times New Roman" w:hAnsi="Calibri" w:cs="Times New Roman"/>
                <w:color w:val="000000"/>
                <w:lang w:val="nl-BE"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ind w:firstLineChars="200" w:firstLine="360"/>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(i) Futures and options admitted to trading on a trading venue</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eastAsia="nl-BE"/>
              </w:rPr>
            </w:pPr>
            <w:r w:rsidRPr="00BF44DE">
              <w:rPr>
                <w:rFonts w:ascii="Calibri" w:eastAsia="Times New Roman" w:hAnsi="Calibri" w:cs="Times New Roman"/>
                <w:color w:val="000000"/>
                <w:lang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ind w:firstLineChars="200" w:firstLine="360"/>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(ii) Swaps, forwards, and other currency derivatives</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eastAsia="nl-BE"/>
              </w:rPr>
            </w:pPr>
            <w:r w:rsidRPr="00BF44DE">
              <w:rPr>
                <w:rFonts w:ascii="Calibri" w:eastAsia="Times New Roman" w:hAnsi="Calibri" w:cs="Times New Roman"/>
                <w:color w:val="000000"/>
                <w:lang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(f) Structured finance instruments</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val="nl-BE" w:eastAsia="nl-BE"/>
              </w:rPr>
            </w:pPr>
            <w:r w:rsidRPr="00BF44DE">
              <w:rPr>
                <w:rFonts w:ascii="Calibri" w:eastAsia="Times New Roman" w:hAnsi="Calibri" w:cs="Times New Roman"/>
                <w:color w:val="000000"/>
                <w:lang w:val="nl-BE"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(g) Equity Derivatives</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val="nl-BE" w:eastAsia="nl-BE"/>
              </w:rPr>
            </w:pPr>
            <w:r w:rsidRPr="00BF44DE">
              <w:rPr>
                <w:rFonts w:ascii="Calibri" w:eastAsia="Times New Roman" w:hAnsi="Calibri" w:cs="Times New Roman"/>
                <w:color w:val="000000"/>
                <w:lang w:val="nl-BE"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 xml:space="preserve">      (i) Options and Futures admitted to trading on a trading venue</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eastAsia="nl-BE"/>
              </w:rPr>
            </w:pPr>
            <w:r w:rsidRPr="00BF44DE">
              <w:rPr>
                <w:rFonts w:ascii="Calibri" w:eastAsia="Times New Roman" w:hAnsi="Calibri" w:cs="Times New Roman"/>
                <w:color w:val="000000"/>
                <w:lang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ind w:firstLineChars="200" w:firstLine="360"/>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(ii) Swaps and other equity derivatives</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eastAsia="nl-BE"/>
              </w:rPr>
            </w:pPr>
            <w:r w:rsidRPr="00BF44DE">
              <w:rPr>
                <w:rFonts w:ascii="Calibri" w:eastAsia="Times New Roman" w:hAnsi="Calibri" w:cs="Times New Roman"/>
                <w:color w:val="000000"/>
                <w:lang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(h) Securitized Derivatives</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val="nl-BE" w:eastAsia="nl-BE"/>
              </w:rPr>
            </w:pPr>
            <w:r w:rsidRPr="00BF44DE">
              <w:rPr>
                <w:rFonts w:ascii="Calibri" w:eastAsia="Times New Roman" w:hAnsi="Calibri" w:cs="Times New Roman"/>
                <w:color w:val="000000"/>
                <w:lang w:val="nl-BE"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ind w:firstLineChars="200" w:firstLine="360"/>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(i) Warrants and Certificate Derivatives</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eastAsia="nl-BE"/>
              </w:rPr>
            </w:pPr>
            <w:r w:rsidRPr="00BF44DE">
              <w:rPr>
                <w:rFonts w:ascii="Calibri" w:eastAsia="Times New Roman" w:hAnsi="Calibri" w:cs="Times New Roman"/>
                <w:color w:val="000000"/>
                <w:lang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ind w:firstLineChars="200" w:firstLine="360"/>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(ii) Other securitized derivatives</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val="nl-BE" w:eastAsia="nl-BE"/>
              </w:rPr>
            </w:pPr>
            <w:r w:rsidRPr="00BF44DE">
              <w:rPr>
                <w:rFonts w:ascii="Calibri" w:eastAsia="Times New Roman" w:hAnsi="Calibri" w:cs="Times New Roman"/>
                <w:color w:val="000000"/>
                <w:lang w:val="nl-BE"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(i) Commodities derivatives and emission allowances Derivatives</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eastAsia="nl-BE"/>
              </w:rPr>
            </w:pPr>
            <w:r w:rsidRPr="00BF44DE">
              <w:rPr>
                <w:rFonts w:ascii="Calibri" w:eastAsia="Times New Roman" w:hAnsi="Calibri" w:cs="Times New Roman"/>
                <w:color w:val="000000"/>
                <w:lang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ind w:firstLineChars="200" w:firstLine="360"/>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(i) Options and Futures admitted to trading on a trading venue</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eastAsia="nl-BE"/>
              </w:rPr>
            </w:pPr>
            <w:r w:rsidRPr="00BF44DE">
              <w:rPr>
                <w:rFonts w:ascii="Calibri" w:eastAsia="Times New Roman" w:hAnsi="Calibri" w:cs="Times New Roman"/>
                <w:color w:val="000000"/>
                <w:lang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ind w:firstLineChars="200" w:firstLine="360"/>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(ii) Other commodities derivatives and emission allowances derivatives</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eastAsia="nl-BE"/>
              </w:rPr>
            </w:pPr>
            <w:r w:rsidRPr="00BF44DE">
              <w:rPr>
                <w:rFonts w:ascii="Calibri" w:eastAsia="Times New Roman" w:hAnsi="Calibri" w:cs="Times New Roman"/>
                <w:color w:val="000000"/>
                <w:lang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(j) Contracts for difference</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val="nl-BE" w:eastAsia="nl-BE"/>
              </w:rPr>
            </w:pPr>
            <w:r w:rsidRPr="00BF44DE">
              <w:rPr>
                <w:rFonts w:ascii="Calibri" w:eastAsia="Times New Roman" w:hAnsi="Calibri" w:cs="Times New Roman"/>
                <w:color w:val="000000"/>
                <w:lang w:val="nl-BE"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(k) Exchange traded products (Exchange traded funds, exchange traded notes and exchange traded commodities)</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eastAsia="nl-BE"/>
              </w:rPr>
            </w:pPr>
            <w:r w:rsidRPr="00BF44DE">
              <w:rPr>
                <w:rFonts w:ascii="Calibri" w:eastAsia="Times New Roman" w:hAnsi="Calibri" w:cs="Times New Roman"/>
                <w:color w:val="000000"/>
                <w:lang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(l) Emission allowances</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val="nl-BE" w:eastAsia="nl-BE"/>
              </w:rPr>
            </w:pPr>
            <w:r w:rsidRPr="00BF44DE">
              <w:rPr>
                <w:rFonts w:ascii="Calibri" w:eastAsia="Times New Roman" w:hAnsi="Calibri" w:cs="Times New Roman"/>
                <w:color w:val="000000"/>
                <w:lang w:val="nl-BE"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(m) Other instruments</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val="nl-BE" w:eastAsia="nl-BE"/>
              </w:rPr>
            </w:pPr>
            <w:r w:rsidRPr="00BF44DE">
              <w:rPr>
                <w:rFonts w:ascii="Calibri" w:eastAsia="Times New Roman" w:hAnsi="Calibri" w:cs="Times New Roman"/>
                <w:color w:val="000000"/>
                <w:lang w:val="nl-BE"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 </w:t>
            </w:r>
          </w:p>
        </w:tc>
      </w:tr>
      <w:tr w:rsidR="00BF44DE" w:rsidRPr="00BF44DE" w:rsidTr="00BF44DE">
        <w:trPr>
          <w:trHeight w:val="312"/>
        </w:trPr>
        <w:tc>
          <w:tcPr>
            <w:tcW w:w="10417" w:type="dxa"/>
            <w:gridSpan w:val="2"/>
            <w:tcBorders>
              <w:top w:val="nil"/>
              <w:left w:val="single" w:sz="8" w:space="0" w:color="auto"/>
              <w:bottom w:val="nil"/>
              <w:right w:val="single" w:sz="8" w:space="0" w:color="000000"/>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b/>
                <w:bCs/>
                <w:color w:val="000000"/>
                <w:lang w:val="nl-BE" w:eastAsia="nl-BE"/>
              </w:rPr>
            </w:pPr>
            <w:r w:rsidRPr="00BF44DE">
              <w:rPr>
                <w:rFonts w:ascii="Calibri" w:eastAsia="Times New Roman" w:hAnsi="Calibri" w:cs="Times New Roman"/>
                <w:b/>
                <w:bCs/>
                <w:color w:val="000000"/>
                <w:lang w:val="nl-BE" w:eastAsia="nl-BE"/>
              </w:rPr>
              <w:t>Definitions</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val="nl-BE" w:eastAsia="nl-BE"/>
              </w:rPr>
            </w:pPr>
            <w:r w:rsidRPr="00BF44DE">
              <w:rPr>
                <w:rFonts w:ascii="Calibri" w:eastAsia="Times New Roman" w:hAnsi="Calibri" w:cs="Times New Roman"/>
                <w:color w:val="000000"/>
                <w:lang w:val="nl-BE"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‘Passive order’ means an order entered into the order book that provided liquidity;</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eastAsia="nl-BE"/>
              </w:rPr>
            </w:pPr>
            <w:r w:rsidRPr="00BF44DE">
              <w:rPr>
                <w:rFonts w:ascii="Calibri" w:eastAsia="Times New Roman" w:hAnsi="Calibri" w:cs="Times New Roman"/>
                <w:color w:val="000000"/>
                <w:lang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‘Aggressive order’ means an order entered into the order book that took liquidity;</w:t>
            </w:r>
          </w:p>
        </w:tc>
      </w:tr>
      <w:tr w:rsidR="00BF44DE" w:rsidRPr="00BF44DE" w:rsidTr="00BF44DE">
        <w:trPr>
          <w:trHeight w:val="312"/>
        </w:trPr>
        <w:tc>
          <w:tcPr>
            <w:tcW w:w="183" w:type="dxa"/>
            <w:tcBorders>
              <w:top w:val="nil"/>
              <w:left w:val="single" w:sz="8" w:space="0" w:color="auto"/>
              <w:bottom w:val="nil"/>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eastAsia="nl-BE"/>
              </w:rPr>
            </w:pPr>
            <w:r w:rsidRPr="00BF44DE">
              <w:rPr>
                <w:rFonts w:ascii="Calibri" w:eastAsia="Times New Roman" w:hAnsi="Calibri" w:cs="Times New Roman"/>
                <w:color w:val="000000"/>
                <w:lang w:eastAsia="nl-BE"/>
              </w:rPr>
              <w:t> </w:t>
            </w:r>
          </w:p>
        </w:tc>
        <w:tc>
          <w:tcPr>
            <w:tcW w:w="10234" w:type="dxa"/>
            <w:tcBorders>
              <w:top w:val="nil"/>
              <w:left w:val="nil"/>
              <w:bottom w:val="nil"/>
              <w:right w:val="single" w:sz="8" w:space="0" w:color="auto"/>
            </w:tcBorders>
            <w:shd w:val="clear" w:color="auto" w:fill="auto"/>
            <w:noWrap/>
            <w:vAlign w:val="bottom"/>
            <w:hideMark/>
          </w:tcPr>
          <w:p w:rsidR="00BF44DE" w:rsidRPr="00BF44DE" w:rsidRDefault="00BF44DE" w:rsidP="00BF44DE">
            <w:pPr>
              <w:spacing w:after="0" w:line="240" w:lineRule="auto"/>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‘Directed order’ means an order where a specific execution venue was specified by the client prior to the execution of the order;</w:t>
            </w:r>
          </w:p>
        </w:tc>
      </w:tr>
      <w:tr w:rsidR="00BF44DE" w:rsidRPr="00BF44DE" w:rsidTr="00BF44DE">
        <w:trPr>
          <w:trHeight w:val="327"/>
        </w:trPr>
        <w:tc>
          <w:tcPr>
            <w:tcW w:w="183" w:type="dxa"/>
            <w:tcBorders>
              <w:top w:val="nil"/>
              <w:left w:val="single" w:sz="8" w:space="0" w:color="auto"/>
              <w:bottom w:val="single" w:sz="8" w:space="0" w:color="auto"/>
              <w:right w:val="nil"/>
            </w:tcBorders>
            <w:shd w:val="clear" w:color="auto" w:fill="auto"/>
            <w:noWrap/>
            <w:vAlign w:val="bottom"/>
            <w:hideMark/>
          </w:tcPr>
          <w:p w:rsidR="00BF44DE" w:rsidRPr="00BF44DE" w:rsidRDefault="00BF44DE" w:rsidP="00BF44DE">
            <w:pPr>
              <w:spacing w:after="0" w:line="240" w:lineRule="auto"/>
              <w:rPr>
                <w:rFonts w:ascii="Calibri" w:eastAsia="Times New Roman" w:hAnsi="Calibri" w:cs="Times New Roman"/>
                <w:color w:val="000000"/>
                <w:lang w:eastAsia="nl-BE"/>
              </w:rPr>
            </w:pPr>
            <w:r w:rsidRPr="00BF44DE">
              <w:rPr>
                <w:rFonts w:ascii="Calibri" w:eastAsia="Times New Roman" w:hAnsi="Calibri" w:cs="Times New Roman"/>
                <w:color w:val="000000"/>
                <w:lang w:eastAsia="nl-BE"/>
              </w:rPr>
              <w:t> </w:t>
            </w:r>
          </w:p>
        </w:tc>
        <w:tc>
          <w:tcPr>
            <w:tcW w:w="10234" w:type="dxa"/>
            <w:tcBorders>
              <w:top w:val="nil"/>
              <w:left w:val="nil"/>
              <w:bottom w:val="single" w:sz="8" w:space="0" w:color="auto"/>
              <w:right w:val="single" w:sz="8" w:space="0" w:color="auto"/>
            </w:tcBorders>
            <w:shd w:val="clear" w:color="auto" w:fill="auto"/>
            <w:noWrap/>
            <w:vAlign w:val="bottom"/>
            <w:hideMark/>
          </w:tcPr>
          <w:p w:rsidR="00BF44DE" w:rsidRPr="00BF44DE" w:rsidRDefault="00BF44DE" w:rsidP="00BF44DE">
            <w:pPr>
              <w:spacing w:after="0" w:line="240" w:lineRule="auto"/>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 </w:t>
            </w:r>
          </w:p>
        </w:tc>
      </w:tr>
    </w:tbl>
    <w:p w:rsidR="00BF44DE" w:rsidRDefault="00BF44DE" w:rsidP="00BF44DE"/>
    <w:tbl>
      <w:tblPr>
        <w:tblStyle w:val="Grilledutableau"/>
        <w:tblW w:w="0" w:type="auto"/>
        <w:tblLook w:val="04A0" w:firstRow="1" w:lastRow="0" w:firstColumn="1" w:lastColumn="0" w:noHBand="0" w:noVBand="1"/>
      </w:tblPr>
      <w:tblGrid>
        <w:gridCol w:w="2076"/>
        <w:gridCol w:w="8380"/>
      </w:tblGrid>
      <w:tr w:rsidR="00BF44DE" w:rsidRPr="00D1626F" w:rsidTr="005D25E7">
        <w:trPr>
          <w:trHeight w:val="171"/>
        </w:trPr>
        <w:tc>
          <w:tcPr>
            <w:tcW w:w="2263" w:type="dxa"/>
            <w:shd w:val="clear" w:color="auto" w:fill="D0CECE" w:themeFill="background2" w:themeFillShade="E6"/>
            <w:hideMark/>
          </w:tcPr>
          <w:p w:rsidR="00BF44DE" w:rsidRPr="00D1626F" w:rsidRDefault="00BF44DE" w:rsidP="005D25E7">
            <w:pPr>
              <w:rPr>
                <w:rFonts w:ascii="Verdana" w:hAnsi="Verdana"/>
                <w:b/>
                <w:bCs/>
                <w:sz w:val="20"/>
                <w:szCs w:val="20"/>
              </w:rPr>
            </w:pPr>
            <w:r w:rsidRPr="00D1626F">
              <w:rPr>
                <w:rFonts w:ascii="Verdana" w:hAnsi="Verdana"/>
                <w:b/>
                <w:bCs/>
                <w:sz w:val="20"/>
                <w:szCs w:val="20"/>
              </w:rPr>
              <w:t>Class of Instrument</w:t>
            </w:r>
          </w:p>
        </w:tc>
        <w:tc>
          <w:tcPr>
            <w:tcW w:w="8380" w:type="dxa"/>
            <w:noWrap/>
            <w:hideMark/>
          </w:tcPr>
          <w:p w:rsidR="00BF44DE" w:rsidRPr="00D1626F" w:rsidRDefault="00BF44DE" w:rsidP="005D25E7">
            <w:pPr>
              <w:rPr>
                <w:rFonts w:ascii="Verdana" w:hAnsi="Verdana"/>
                <w:b/>
                <w:bCs/>
                <w:sz w:val="20"/>
                <w:szCs w:val="20"/>
              </w:rPr>
            </w:pPr>
            <w:r w:rsidRPr="00D1626F">
              <w:rPr>
                <w:rFonts w:ascii="Verdana" w:hAnsi="Verdana"/>
                <w:b/>
                <w:bCs/>
                <w:sz w:val="20"/>
                <w:szCs w:val="20"/>
              </w:rPr>
              <w:t>Equities – Shares &amp; Depositary Receipts – Tick size liquidity bands 5 and 6 (from 2000 trades per day)</w:t>
            </w:r>
          </w:p>
        </w:tc>
      </w:tr>
    </w:tbl>
    <w:p w:rsidR="00BF44DE" w:rsidRDefault="00BF44DE" w:rsidP="00BF44DE"/>
    <w:tbl>
      <w:tblPr>
        <w:tblW w:w="10007" w:type="dxa"/>
        <w:tblCellMar>
          <w:left w:w="70" w:type="dxa"/>
          <w:right w:w="70" w:type="dxa"/>
        </w:tblCellMar>
        <w:tblLook w:val="04A0" w:firstRow="1" w:lastRow="0" w:firstColumn="1" w:lastColumn="0" w:noHBand="0" w:noVBand="1"/>
      </w:tblPr>
      <w:tblGrid>
        <w:gridCol w:w="2482"/>
        <w:gridCol w:w="1592"/>
        <w:gridCol w:w="1592"/>
        <w:gridCol w:w="1592"/>
        <w:gridCol w:w="1592"/>
        <w:gridCol w:w="1596"/>
      </w:tblGrid>
      <w:tr w:rsidR="00BF44DE" w:rsidRPr="00BF44DE" w:rsidTr="00BF44DE">
        <w:trPr>
          <w:trHeight w:val="204"/>
        </w:trPr>
        <w:tc>
          <w:tcPr>
            <w:tcW w:w="10007" w:type="dxa"/>
            <w:gridSpan w:val="6"/>
            <w:tcBorders>
              <w:top w:val="single" w:sz="8" w:space="0" w:color="auto"/>
              <w:left w:val="single" w:sz="8" w:space="0" w:color="auto"/>
              <w:bottom w:val="single" w:sz="8" w:space="0" w:color="auto"/>
              <w:right w:val="single" w:sz="8" w:space="0" w:color="000000"/>
            </w:tcBorders>
            <w:shd w:val="clear" w:color="auto" w:fill="auto"/>
            <w:noWrap/>
            <w:hideMark/>
          </w:tcPr>
          <w:p w:rsidR="00BF44DE" w:rsidRPr="00BF44DE" w:rsidRDefault="00BF44DE" w:rsidP="00BF44DE">
            <w:pPr>
              <w:spacing w:after="0" w:line="240" w:lineRule="auto"/>
              <w:jc w:val="center"/>
              <w:rPr>
                <w:rFonts w:ascii="Verdana" w:eastAsia="Times New Roman" w:hAnsi="Verdana" w:cs="Times New Roman"/>
                <w:b/>
                <w:bCs/>
                <w:color w:val="000000"/>
                <w:sz w:val="18"/>
                <w:szCs w:val="18"/>
                <w:lang w:val="nl-BE" w:eastAsia="nl-BE"/>
              </w:rPr>
            </w:pPr>
            <w:r w:rsidRPr="00BF44DE">
              <w:rPr>
                <w:rFonts w:ascii="Verdana" w:eastAsia="Times New Roman" w:hAnsi="Verdana" w:cs="Times New Roman"/>
                <w:b/>
                <w:bCs/>
                <w:color w:val="000000"/>
                <w:sz w:val="18"/>
                <w:szCs w:val="18"/>
                <w:lang w:val="nl-BE" w:eastAsia="nl-BE"/>
              </w:rPr>
              <w:t>TOP 5 COUNTERPARTIES</w:t>
            </w:r>
          </w:p>
        </w:tc>
      </w:tr>
      <w:tr w:rsidR="00BF44DE" w:rsidRPr="00BF44DE" w:rsidTr="00BF44DE">
        <w:trPr>
          <w:trHeight w:val="467"/>
        </w:trPr>
        <w:tc>
          <w:tcPr>
            <w:tcW w:w="1852" w:type="dxa"/>
            <w:tcBorders>
              <w:top w:val="nil"/>
              <w:left w:val="single" w:sz="8" w:space="0" w:color="auto"/>
              <w:bottom w:val="single" w:sz="4" w:space="0" w:color="auto"/>
              <w:right w:val="single" w:sz="4" w:space="0" w:color="auto"/>
            </w:tcBorders>
            <w:shd w:val="clear" w:color="000000" w:fill="6CACE4"/>
            <w:hideMark/>
          </w:tcPr>
          <w:p w:rsidR="00BF44DE" w:rsidRPr="00BF44DE" w:rsidRDefault="00BF44DE" w:rsidP="00BF44DE">
            <w:pPr>
              <w:spacing w:after="0" w:line="240" w:lineRule="auto"/>
              <w:rPr>
                <w:rFonts w:ascii="Verdana" w:eastAsia="Times New Roman" w:hAnsi="Verdana" w:cs="Times New Roman"/>
                <w:b/>
                <w:bCs/>
                <w:color w:val="000000"/>
                <w:sz w:val="18"/>
                <w:szCs w:val="18"/>
                <w:lang w:val="nl-BE" w:eastAsia="nl-BE"/>
              </w:rPr>
            </w:pPr>
            <w:r w:rsidRPr="00BF44DE">
              <w:rPr>
                <w:rFonts w:ascii="Verdana" w:eastAsia="Times New Roman" w:hAnsi="Verdana" w:cs="Times New Roman"/>
                <w:b/>
                <w:bCs/>
                <w:color w:val="000000"/>
                <w:sz w:val="18"/>
                <w:szCs w:val="18"/>
                <w:lang w:val="nl-BE" w:eastAsia="nl-BE"/>
              </w:rPr>
              <w:t>Client Type</w:t>
            </w:r>
          </w:p>
        </w:tc>
        <w:tc>
          <w:tcPr>
            <w:tcW w:w="8154" w:type="dxa"/>
            <w:gridSpan w:val="5"/>
            <w:tcBorders>
              <w:top w:val="single" w:sz="8" w:space="0" w:color="auto"/>
              <w:left w:val="nil"/>
              <w:bottom w:val="single" w:sz="4" w:space="0" w:color="auto"/>
              <w:right w:val="single" w:sz="8" w:space="0" w:color="000000"/>
            </w:tcBorders>
            <w:shd w:val="clear" w:color="auto" w:fill="auto"/>
            <w:noWrap/>
            <w:hideMark/>
          </w:tcPr>
          <w:p w:rsidR="00BF44DE" w:rsidRPr="00BF44DE" w:rsidRDefault="00BF44DE" w:rsidP="00BF44DE">
            <w:pPr>
              <w:spacing w:after="0" w:line="240" w:lineRule="auto"/>
              <w:jc w:val="center"/>
              <w:rPr>
                <w:rFonts w:ascii="Verdana" w:eastAsia="Times New Roman" w:hAnsi="Verdana" w:cs="Times New Roman"/>
                <w:b/>
                <w:bCs/>
                <w:color w:val="000000"/>
                <w:sz w:val="18"/>
                <w:szCs w:val="18"/>
                <w:lang w:val="nl-BE" w:eastAsia="nl-BE"/>
              </w:rPr>
            </w:pPr>
            <w:r w:rsidRPr="00BF44DE">
              <w:rPr>
                <w:rFonts w:ascii="Verdana" w:eastAsia="Times New Roman" w:hAnsi="Verdana" w:cs="Times New Roman"/>
                <w:b/>
                <w:bCs/>
                <w:color w:val="000000"/>
                <w:sz w:val="18"/>
                <w:szCs w:val="18"/>
                <w:lang w:val="nl-BE" w:eastAsia="nl-BE"/>
              </w:rPr>
              <w:t>Retail Clients</w:t>
            </w:r>
          </w:p>
        </w:tc>
      </w:tr>
      <w:tr w:rsidR="00BF44DE" w:rsidRPr="00BF44DE" w:rsidTr="00BF44DE">
        <w:trPr>
          <w:trHeight w:val="583"/>
        </w:trPr>
        <w:tc>
          <w:tcPr>
            <w:tcW w:w="1852" w:type="dxa"/>
            <w:tcBorders>
              <w:top w:val="nil"/>
              <w:left w:val="single" w:sz="8" w:space="0" w:color="auto"/>
              <w:bottom w:val="single" w:sz="4" w:space="0" w:color="auto"/>
              <w:right w:val="single" w:sz="4" w:space="0" w:color="auto"/>
            </w:tcBorders>
            <w:shd w:val="clear" w:color="000000" w:fill="6CACE4"/>
            <w:hideMark/>
          </w:tcPr>
          <w:p w:rsidR="00BF44DE" w:rsidRPr="00BF44DE" w:rsidRDefault="00BF44DE" w:rsidP="00BF44DE">
            <w:pPr>
              <w:spacing w:after="0" w:line="240" w:lineRule="auto"/>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Notification if &lt;1 average trade per business day in the previous year</w:t>
            </w:r>
          </w:p>
        </w:tc>
        <w:tc>
          <w:tcPr>
            <w:tcW w:w="8154" w:type="dxa"/>
            <w:gridSpan w:val="5"/>
            <w:tcBorders>
              <w:top w:val="single" w:sz="4" w:space="0" w:color="auto"/>
              <w:left w:val="nil"/>
              <w:bottom w:val="single" w:sz="4" w:space="0" w:color="auto"/>
              <w:right w:val="single" w:sz="8" w:space="0" w:color="000000"/>
            </w:tcBorders>
            <w:shd w:val="clear" w:color="auto" w:fill="auto"/>
            <w:noWrap/>
            <w:vAlign w:val="center"/>
            <w:hideMark/>
          </w:tcPr>
          <w:p w:rsidR="00BF44DE" w:rsidRPr="00BF44DE" w:rsidRDefault="00BF44DE" w:rsidP="00BF44DE">
            <w:pPr>
              <w:spacing w:after="0" w:line="240" w:lineRule="auto"/>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N</w:t>
            </w:r>
          </w:p>
        </w:tc>
      </w:tr>
      <w:tr w:rsidR="00BF44DE" w:rsidRPr="00BF44DE" w:rsidTr="00BF44DE">
        <w:trPr>
          <w:trHeight w:val="583"/>
        </w:trPr>
        <w:tc>
          <w:tcPr>
            <w:tcW w:w="1852" w:type="dxa"/>
            <w:tcBorders>
              <w:top w:val="nil"/>
              <w:left w:val="single" w:sz="8" w:space="0" w:color="auto"/>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Top five execution venues</w:t>
            </w:r>
            <w:r w:rsidRPr="00BF44DE">
              <w:rPr>
                <w:rFonts w:ascii="Verdana" w:eastAsia="Times New Roman" w:hAnsi="Verdana" w:cs="Times New Roman"/>
                <w:b/>
                <w:bCs/>
                <w:color w:val="000000"/>
                <w:sz w:val="18"/>
                <w:szCs w:val="18"/>
                <w:lang w:eastAsia="nl-BE"/>
              </w:rPr>
              <w:t xml:space="preserve"> </w:t>
            </w:r>
            <w:r w:rsidRPr="00BF44DE">
              <w:rPr>
                <w:rFonts w:ascii="Verdana" w:eastAsia="Times New Roman" w:hAnsi="Verdana" w:cs="Times New Roman"/>
                <w:color w:val="000000"/>
                <w:sz w:val="18"/>
                <w:szCs w:val="18"/>
                <w:lang w:eastAsia="nl-BE"/>
              </w:rPr>
              <w:t>ranked in terms of trading volumes (descending order)</w:t>
            </w:r>
          </w:p>
        </w:tc>
        <w:tc>
          <w:tcPr>
            <w:tcW w:w="1630" w:type="dxa"/>
            <w:tcBorders>
              <w:top w:val="nil"/>
              <w:left w:val="nil"/>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Proportion of volume traded as a percentage of total in that class</w:t>
            </w:r>
          </w:p>
        </w:tc>
        <w:tc>
          <w:tcPr>
            <w:tcW w:w="1630" w:type="dxa"/>
            <w:tcBorders>
              <w:top w:val="nil"/>
              <w:left w:val="nil"/>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Proportion of orders executed as percentage of total in that class</w:t>
            </w:r>
          </w:p>
        </w:tc>
        <w:tc>
          <w:tcPr>
            <w:tcW w:w="1630" w:type="dxa"/>
            <w:tcBorders>
              <w:top w:val="nil"/>
              <w:left w:val="nil"/>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Percentage of passive orders</w:t>
            </w:r>
          </w:p>
        </w:tc>
        <w:tc>
          <w:tcPr>
            <w:tcW w:w="1630" w:type="dxa"/>
            <w:tcBorders>
              <w:top w:val="nil"/>
              <w:left w:val="nil"/>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Percentage of aggressive orders</w:t>
            </w:r>
          </w:p>
        </w:tc>
        <w:tc>
          <w:tcPr>
            <w:tcW w:w="1630" w:type="dxa"/>
            <w:tcBorders>
              <w:top w:val="nil"/>
              <w:left w:val="nil"/>
              <w:bottom w:val="single" w:sz="4" w:space="0" w:color="auto"/>
              <w:right w:val="single" w:sz="8"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Percentage of directed orders</w:t>
            </w:r>
          </w:p>
        </w:tc>
      </w:tr>
      <w:tr w:rsidR="00BF44DE" w:rsidRPr="00BF44DE" w:rsidTr="00BF44DE">
        <w:trPr>
          <w:trHeight w:val="1101"/>
        </w:trPr>
        <w:tc>
          <w:tcPr>
            <w:tcW w:w="1852" w:type="dxa"/>
            <w:tcBorders>
              <w:top w:val="nil"/>
              <w:left w:val="single" w:sz="8" w:space="0" w:color="auto"/>
              <w:bottom w:val="single" w:sz="4" w:space="0" w:color="auto"/>
              <w:right w:val="single" w:sz="4" w:space="0" w:color="auto"/>
            </w:tcBorders>
            <w:shd w:val="clear" w:color="auto" w:fill="auto"/>
            <w:vAlign w:val="center"/>
            <w:hideMark/>
          </w:tcPr>
          <w:p w:rsidR="00BF44DE" w:rsidRPr="00BF44DE" w:rsidRDefault="00BF44DE" w:rsidP="00BF44DE">
            <w:pPr>
              <w:spacing w:after="0" w:line="240" w:lineRule="auto"/>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CAPITALATWORK FOYER GROUP S.A.</w:t>
            </w:r>
            <w:r w:rsidRPr="00BF44DE">
              <w:rPr>
                <w:rFonts w:ascii="Verdana" w:eastAsia="Times New Roman" w:hAnsi="Verdana" w:cs="Times New Roman"/>
                <w:color w:val="000000"/>
                <w:sz w:val="18"/>
                <w:szCs w:val="18"/>
                <w:lang w:eastAsia="nl-BE"/>
              </w:rPr>
              <w:br/>
              <w:t>549300G1S24HHV2HX706</w:t>
            </w:r>
          </w:p>
        </w:tc>
        <w:tc>
          <w:tcPr>
            <w:tcW w:w="1630" w:type="dxa"/>
            <w:tcBorders>
              <w:top w:val="nil"/>
              <w:left w:val="nil"/>
              <w:bottom w:val="single" w:sz="4" w:space="0" w:color="auto"/>
              <w:right w:val="single" w:sz="4" w:space="0" w:color="auto"/>
            </w:tcBorders>
            <w:shd w:val="clear" w:color="auto" w:fill="auto"/>
            <w:noWrap/>
            <w:vAlign w:val="center"/>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100.00%</w:t>
            </w:r>
          </w:p>
        </w:tc>
        <w:tc>
          <w:tcPr>
            <w:tcW w:w="1630" w:type="dxa"/>
            <w:tcBorders>
              <w:top w:val="nil"/>
              <w:left w:val="nil"/>
              <w:bottom w:val="single" w:sz="4" w:space="0" w:color="auto"/>
              <w:right w:val="single" w:sz="4" w:space="0" w:color="auto"/>
            </w:tcBorders>
            <w:shd w:val="clear" w:color="auto" w:fill="auto"/>
            <w:noWrap/>
            <w:vAlign w:val="center"/>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100.00%</w:t>
            </w:r>
          </w:p>
        </w:tc>
        <w:tc>
          <w:tcPr>
            <w:tcW w:w="1630" w:type="dxa"/>
            <w:tcBorders>
              <w:top w:val="nil"/>
              <w:left w:val="nil"/>
              <w:bottom w:val="single" w:sz="4" w:space="0" w:color="auto"/>
              <w:right w:val="single" w:sz="4" w:space="0" w:color="auto"/>
            </w:tcBorders>
            <w:shd w:val="clear" w:color="auto" w:fill="auto"/>
            <w:noWrap/>
            <w:vAlign w:val="center"/>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N/C</w:t>
            </w:r>
          </w:p>
        </w:tc>
        <w:tc>
          <w:tcPr>
            <w:tcW w:w="1630" w:type="dxa"/>
            <w:tcBorders>
              <w:top w:val="nil"/>
              <w:left w:val="nil"/>
              <w:bottom w:val="single" w:sz="4" w:space="0" w:color="auto"/>
              <w:right w:val="single" w:sz="4" w:space="0" w:color="auto"/>
            </w:tcBorders>
            <w:shd w:val="clear" w:color="auto" w:fill="auto"/>
            <w:noWrap/>
            <w:vAlign w:val="center"/>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N/C</w:t>
            </w:r>
          </w:p>
        </w:tc>
        <w:tc>
          <w:tcPr>
            <w:tcW w:w="1630" w:type="dxa"/>
            <w:tcBorders>
              <w:top w:val="nil"/>
              <w:left w:val="nil"/>
              <w:bottom w:val="single" w:sz="4" w:space="0" w:color="auto"/>
              <w:right w:val="single" w:sz="8" w:space="0" w:color="auto"/>
            </w:tcBorders>
            <w:shd w:val="clear" w:color="auto" w:fill="auto"/>
            <w:noWrap/>
            <w:vAlign w:val="center"/>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0%</w:t>
            </w:r>
          </w:p>
        </w:tc>
      </w:tr>
    </w:tbl>
    <w:p w:rsidR="00BF44DE" w:rsidRDefault="00BF44DE" w:rsidP="00BF44DE"/>
    <w:p w:rsidR="00BF44DE" w:rsidRDefault="00BF44DE" w:rsidP="00BF44DE"/>
    <w:p w:rsidR="00BF44DE" w:rsidRDefault="00BF44DE" w:rsidP="00BF44DE"/>
    <w:tbl>
      <w:tblPr>
        <w:tblStyle w:val="Grilledutableau"/>
        <w:tblW w:w="0" w:type="auto"/>
        <w:tblLook w:val="04A0" w:firstRow="1" w:lastRow="0" w:firstColumn="1" w:lastColumn="0" w:noHBand="0" w:noVBand="1"/>
      </w:tblPr>
      <w:tblGrid>
        <w:gridCol w:w="2247"/>
        <w:gridCol w:w="8209"/>
      </w:tblGrid>
      <w:tr w:rsidR="00BF44DE" w:rsidRPr="00BF44DE" w:rsidTr="005D25E7">
        <w:trPr>
          <w:trHeight w:val="126"/>
        </w:trPr>
        <w:tc>
          <w:tcPr>
            <w:tcW w:w="2263" w:type="dxa"/>
            <w:shd w:val="clear" w:color="auto" w:fill="D0CECE" w:themeFill="background2" w:themeFillShade="E6"/>
            <w:hideMark/>
          </w:tcPr>
          <w:p w:rsidR="00BF44DE" w:rsidRPr="00BF44DE" w:rsidRDefault="00BF44DE" w:rsidP="005D25E7">
            <w:pPr>
              <w:rPr>
                <w:rFonts w:ascii="Verdana" w:hAnsi="Verdana"/>
                <w:b/>
                <w:bCs/>
                <w:sz w:val="20"/>
                <w:szCs w:val="20"/>
              </w:rPr>
            </w:pPr>
            <w:r w:rsidRPr="00BF44DE">
              <w:rPr>
                <w:rFonts w:ascii="Verdana" w:hAnsi="Verdana"/>
                <w:b/>
                <w:bCs/>
                <w:sz w:val="20"/>
                <w:szCs w:val="20"/>
              </w:rPr>
              <w:t>Class of Instrument</w:t>
            </w:r>
          </w:p>
        </w:tc>
        <w:tc>
          <w:tcPr>
            <w:tcW w:w="8356" w:type="dxa"/>
            <w:hideMark/>
          </w:tcPr>
          <w:p w:rsidR="00BF44DE" w:rsidRPr="00BF44DE" w:rsidRDefault="00BF44DE" w:rsidP="005D25E7">
            <w:pPr>
              <w:rPr>
                <w:rFonts w:ascii="Verdana" w:hAnsi="Verdana"/>
                <w:b/>
                <w:bCs/>
                <w:sz w:val="20"/>
                <w:szCs w:val="20"/>
              </w:rPr>
            </w:pPr>
            <w:r w:rsidRPr="00BF44DE">
              <w:rPr>
                <w:rFonts w:ascii="Verdana" w:hAnsi="Verdana"/>
                <w:b/>
                <w:bCs/>
                <w:sz w:val="20"/>
                <w:szCs w:val="20"/>
              </w:rPr>
              <w:t>Equities – Shares &amp; Depositary Receipts – Tick size liquidity bands 3 and 4 (from 80 to 1999 trades per day)</w:t>
            </w:r>
          </w:p>
        </w:tc>
      </w:tr>
    </w:tbl>
    <w:p w:rsidR="00BF44DE" w:rsidRDefault="00BF44DE" w:rsidP="00BF44DE"/>
    <w:tbl>
      <w:tblPr>
        <w:tblW w:w="10533" w:type="dxa"/>
        <w:tblCellMar>
          <w:left w:w="70" w:type="dxa"/>
          <w:right w:w="70" w:type="dxa"/>
        </w:tblCellMar>
        <w:tblLook w:val="04A0" w:firstRow="1" w:lastRow="0" w:firstColumn="1" w:lastColumn="0" w:noHBand="0" w:noVBand="1"/>
      </w:tblPr>
      <w:tblGrid>
        <w:gridCol w:w="2543"/>
        <w:gridCol w:w="1599"/>
        <w:gridCol w:w="1599"/>
        <w:gridCol w:w="1599"/>
        <w:gridCol w:w="1599"/>
        <w:gridCol w:w="1607"/>
      </w:tblGrid>
      <w:tr w:rsidR="00BF44DE" w:rsidRPr="00BF44DE" w:rsidTr="00BF44DE">
        <w:trPr>
          <w:trHeight w:val="279"/>
        </w:trPr>
        <w:tc>
          <w:tcPr>
            <w:tcW w:w="10533" w:type="dxa"/>
            <w:gridSpan w:val="6"/>
            <w:tcBorders>
              <w:top w:val="single" w:sz="8" w:space="0" w:color="auto"/>
              <w:left w:val="single" w:sz="8" w:space="0" w:color="auto"/>
              <w:bottom w:val="single" w:sz="8" w:space="0" w:color="auto"/>
              <w:right w:val="single" w:sz="8" w:space="0" w:color="000000"/>
            </w:tcBorders>
            <w:shd w:val="clear" w:color="auto" w:fill="auto"/>
            <w:noWrap/>
            <w:hideMark/>
          </w:tcPr>
          <w:p w:rsidR="00BF44DE" w:rsidRPr="00BF44DE" w:rsidRDefault="00BF44DE" w:rsidP="00BF44DE">
            <w:pPr>
              <w:spacing w:after="0" w:line="240" w:lineRule="auto"/>
              <w:jc w:val="center"/>
              <w:rPr>
                <w:rFonts w:ascii="Calibri" w:eastAsia="Times New Roman" w:hAnsi="Calibri" w:cs="Times New Roman"/>
                <w:b/>
                <w:bCs/>
                <w:color w:val="000000"/>
                <w:sz w:val="18"/>
                <w:szCs w:val="18"/>
                <w:lang w:val="nl-BE" w:eastAsia="nl-BE"/>
              </w:rPr>
            </w:pPr>
            <w:r w:rsidRPr="00BF44DE">
              <w:rPr>
                <w:rFonts w:ascii="Calibri" w:eastAsia="Times New Roman" w:hAnsi="Calibri" w:cs="Times New Roman"/>
                <w:b/>
                <w:bCs/>
                <w:color w:val="000000"/>
                <w:sz w:val="18"/>
                <w:szCs w:val="18"/>
                <w:lang w:val="nl-BE" w:eastAsia="nl-BE"/>
              </w:rPr>
              <w:t>TOP 5 COUNTERPARTIES</w:t>
            </w:r>
          </w:p>
        </w:tc>
      </w:tr>
      <w:tr w:rsidR="00BF44DE" w:rsidRPr="00BF44DE" w:rsidTr="00BF44DE">
        <w:trPr>
          <w:trHeight w:val="266"/>
        </w:trPr>
        <w:tc>
          <w:tcPr>
            <w:tcW w:w="2530" w:type="dxa"/>
            <w:tcBorders>
              <w:top w:val="nil"/>
              <w:left w:val="single" w:sz="8" w:space="0" w:color="auto"/>
              <w:bottom w:val="single" w:sz="4" w:space="0" w:color="auto"/>
              <w:right w:val="single" w:sz="4" w:space="0" w:color="auto"/>
            </w:tcBorders>
            <w:shd w:val="clear" w:color="000000" w:fill="6CACE4"/>
            <w:hideMark/>
          </w:tcPr>
          <w:p w:rsidR="00BF44DE" w:rsidRPr="00BF44DE" w:rsidRDefault="00BF44DE" w:rsidP="00BF44DE">
            <w:pPr>
              <w:spacing w:after="0" w:line="240" w:lineRule="auto"/>
              <w:rPr>
                <w:rFonts w:ascii="Verdana" w:eastAsia="Times New Roman" w:hAnsi="Verdana" w:cs="Times New Roman"/>
                <w:b/>
                <w:bCs/>
                <w:color w:val="000000"/>
                <w:sz w:val="18"/>
                <w:szCs w:val="18"/>
                <w:lang w:val="nl-BE" w:eastAsia="nl-BE"/>
              </w:rPr>
            </w:pPr>
            <w:r w:rsidRPr="00BF44DE">
              <w:rPr>
                <w:rFonts w:ascii="Verdana" w:eastAsia="Times New Roman" w:hAnsi="Verdana" w:cs="Times New Roman"/>
                <w:b/>
                <w:bCs/>
                <w:color w:val="000000"/>
                <w:sz w:val="18"/>
                <w:szCs w:val="18"/>
                <w:lang w:val="nl-BE" w:eastAsia="nl-BE"/>
              </w:rPr>
              <w:t>Client Type</w:t>
            </w:r>
          </w:p>
        </w:tc>
        <w:tc>
          <w:tcPr>
            <w:tcW w:w="8003" w:type="dxa"/>
            <w:gridSpan w:val="5"/>
            <w:tcBorders>
              <w:top w:val="single" w:sz="8" w:space="0" w:color="auto"/>
              <w:left w:val="nil"/>
              <w:bottom w:val="single" w:sz="4" w:space="0" w:color="auto"/>
              <w:right w:val="single" w:sz="8" w:space="0" w:color="000000"/>
            </w:tcBorders>
            <w:shd w:val="clear" w:color="auto" w:fill="auto"/>
            <w:noWrap/>
            <w:hideMark/>
          </w:tcPr>
          <w:p w:rsidR="00BF44DE" w:rsidRPr="00BF44DE" w:rsidRDefault="00BF44DE" w:rsidP="00BF44DE">
            <w:pPr>
              <w:spacing w:after="0" w:line="240" w:lineRule="auto"/>
              <w:jc w:val="center"/>
              <w:rPr>
                <w:rFonts w:ascii="Verdana" w:eastAsia="Times New Roman" w:hAnsi="Verdana" w:cs="Times New Roman"/>
                <w:b/>
                <w:bCs/>
                <w:color w:val="000000"/>
                <w:sz w:val="18"/>
                <w:szCs w:val="18"/>
                <w:lang w:val="nl-BE" w:eastAsia="nl-BE"/>
              </w:rPr>
            </w:pPr>
            <w:r w:rsidRPr="00BF44DE">
              <w:rPr>
                <w:rFonts w:ascii="Verdana" w:eastAsia="Times New Roman" w:hAnsi="Verdana" w:cs="Times New Roman"/>
                <w:b/>
                <w:bCs/>
                <w:color w:val="000000"/>
                <w:sz w:val="18"/>
                <w:szCs w:val="18"/>
                <w:lang w:val="nl-BE" w:eastAsia="nl-BE"/>
              </w:rPr>
              <w:t>Retail Clients</w:t>
            </w:r>
          </w:p>
        </w:tc>
      </w:tr>
      <w:tr w:rsidR="00BF44DE" w:rsidRPr="00BF44DE" w:rsidTr="00BF44DE">
        <w:trPr>
          <w:trHeight w:val="654"/>
        </w:trPr>
        <w:tc>
          <w:tcPr>
            <w:tcW w:w="2530" w:type="dxa"/>
            <w:tcBorders>
              <w:top w:val="nil"/>
              <w:left w:val="single" w:sz="8" w:space="0" w:color="auto"/>
              <w:bottom w:val="single" w:sz="4" w:space="0" w:color="auto"/>
              <w:right w:val="single" w:sz="4" w:space="0" w:color="auto"/>
            </w:tcBorders>
            <w:shd w:val="clear" w:color="000000" w:fill="6CACE4"/>
            <w:hideMark/>
          </w:tcPr>
          <w:p w:rsidR="00BF44DE" w:rsidRPr="00BF44DE" w:rsidRDefault="00BF44DE" w:rsidP="00BF44DE">
            <w:pPr>
              <w:spacing w:after="0" w:line="240" w:lineRule="auto"/>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Notification if &lt;1 average trade per business day in the previous year</w:t>
            </w:r>
          </w:p>
        </w:tc>
        <w:tc>
          <w:tcPr>
            <w:tcW w:w="8003" w:type="dxa"/>
            <w:gridSpan w:val="5"/>
            <w:tcBorders>
              <w:top w:val="single" w:sz="4" w:space="0" w:color="auto"/>
              <w:left w:val="nil"/>
              <w:bottom w:val="single" w:sz="4" w:space="0" w:color="auto"/>
              <w:right w:val="single" w:sz="8" w:space="0" w:color="000000"/>
            </w:tcBorders>
            <w:shd w:val="clear" w:color="auto" w:fill="auto"/>
            <w:noWrap/>
            <w:vAlign w:val="center"/>
            <w:hideMark/>
          </w:tcPr>
          <w:p w:rsidR="00BF44DE" w:rsidRPr="00BF44DE" w:rsidRDefault="00BF44DE" w:rsidP="00BF44DE">
            <w:pPr>
              <w:spacing w:after="0" w:line="240" w:lineRule="auto"/>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N</w:t>
            </w:r>
          </w:p>
        </w:tc>
      </w:tr>
      <w:tr w:rsidR="00BF44DE" w:rsidRPr="00BF44DE" w:rsidTr="00BF44DE">
        <w:trPr>
          <w:trHeight w:val="1124"/>
        </w:trPr>
        <w:tc>
          <w:tcPr>
            <w:tcW w:w="2530" w:type="dxa"/>
            <w:tcBorders>
              <w:top w:val="nil"/>
              <w:left w:val="single" w:sz="8" w:space="0" w:color="auto"/>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Top five execution venues</w:t>
            </w:r>
            <w:r w:rsidRPr="00BF44DE">
              <w:rPr>
                <w:rFonts w:ascii="Verdana" w:eastAsia="Times New Roman" w:hAnsi="Verdana" w:cs="Times New Roman"/>
                <w:b/>
                <w:bCs/>
                <w:color w:val="000000"/>
                <w:sz w:val="18"/>
                <w:szCs w:val="18"/>
                <w:lang w:eastAsia="nl-BE"/>
              </w:rPr>
              <w:t xml:space="preserve"> </w:t>
            </w:r>
            <w:r w:rsidRPr="00BF44DE">
              <w:rPr>
                <w:rFonts w:ascii="Verdana" w:eastAsia="Times New Roman" w:hAnsi="Verdana" w:cs="Times New Roman"/>
                <w:color w:val="000000"/>
                <w:sz w:val="18"/>
                <w:szCs w:val="18"/>
                <w:lang w:eastAsia="nl-BE"/>
              </w:rPr>
              <w:t>ranked in terms of trading volumes (descending order)</w:t>
            </w:r>
          </w:p>
        </w:tc>
        <w:tc>
          <w:tcPr>
            <w:tcW w:w="1599" w:type="dxa"/>
            <w:tcBorders>
              <w:top w:val="nil"/>
              <w:left w:val="nil"/>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Proportion of volume traded as a percentage of total in that class</w:t>
            </w:r>
          </w:p>
        </w:tc>
        <w:tc>
          <w:tcPr>
            <w:tcW w:w="1599" w:type="dxa"/>
            <w:tcBorders>
              <w:top w:val="nil"/>
              <w:left w:val="nil"/>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Proportion of orders executed as percentage of total in that class</w:t>
            </w:r>
          </w:p>
        </w:tc>
        <w:tc>
          <w:tcPr>
            <w:tcW w:w="1599" w:type="dxa"/>
            <w:tcBorders>
              <w:top w:val="nil"/>
              <w:left w:val="nil"/>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Percentage of passive orders</w:t>
            </w:r>
          </w:p>
        </w:tc>
        <w:tc>
          <w:tcPr>
            <w:tcW w:w="1599" w:type="dxa"/>
            <w:tcBorders>
              <w:top w:val="nil"/>
              <w:left w:val="nil"/>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Percentage of aggressive orders</w:t>
            </w:r>
          </w:p>
        </w:tc>
        <w:tc>
          <w:tcPr>
            <w:tcW w:w="1606" w:type="dxa"/>
            <w:tcBorders>
              <w:top w:val="nil"/>
              <w:left w:val="nil"/>
              <w:bottom w:val="single" w:sz="4" w:space="0" w:color="auto"/>
              <w:right w:val="single" w:sz="8"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Percentage of directed orders</w:t>
            </w:r>
          </w:p>
        </w:tc>
      </w:tr>
      <w:tr w:rsidR="00BF44DE" w:rsidRPr="00BF44DE" w:rsidTr="00BF44DE">
        <w:trPr>
          <w:trHeight w:val="882"/>
        </w:trPr>
        <w:tc>
          <w:tcPr>
            <w:tcW w:w="2530" w:type="dxa"/>
            <w:tcBorders>
              <w:top w:val="nil"/>
              <w:left w:val="single" w:sz="8" w:space="0" w:color="auto"/>
              <w:bottom w:val="single" w:sz="4" w:space="0" w:color="auto"/>
              <w:right w:val="single" w:sz="4" w:space="0" w:color="auto"/>
            </w:tcBorders>
            <w:shd w:val="clear" w:color="auto" w:fill="auto"/>
            <w:vAlign w:val="center"/>
            <w:hideMark/>
          </w:tcPr>
          <w:p w:rsidR="00BF44DE" w:rsidRPr="00BF44DE" w:rsidRDefault="00BF44DE" w:rsidP="00BF44DE">
            <w:pPr>
              <w:spacing w:after="0" w:line="240" w:lineRule="auto"/>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CAPITALATWORK FOYER GROUP S.A.</w:t>
            </w:r>
            <w:r w:rsidRPr="00BF44DE">
              <w:rPr>
                <w:rFonts w:ascii="Verdana" w:eastAsia="Times New Roman" w:hAnsi="Verdana" w:cs="Times New Roman"/>
                <w:color w:val="000000"/>
                <w:sz w:val="18"/>
                <w:szCs w:val="18"/>
                <w:lang w:eastAsia="nl-BE"/>
              </w:rPr>
              <w:br/>
              <w:t>549300G1S24HHV2HX706</w:t>
            </w:r>
          </w:p>
        </w:tc>
        <w:tc>
          <w:tcPr>
            <w:tcW w:w="1599" w:type="dxa"/>
            <w:tcBorders>
              <w:top w:val="nil"/>
              <w:left w:val="nil"/>
              <w:bottom w:val="single" w:sz="4" w:space="0" w:color="auto"/>
              <w:right w:val="single" w:sz="4" w:space="0" w:color="auto"/>
            </w:tcBorders>
            <w:shd w:val="clear" w:color="auto" w:fill="auto"/>
            <w:noWrap/>
            <w:vAlign w:val="center"/>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100.00%</w:t>
            </w:r>
          </w:p>
        </w:tc>
        <w:tc>
          <w:tcPr>
            <w:tcW w:w="1599" w:type="dxa"/>
            <w:tcBorders>
              <w:top w:val="nil"/>
              <w:left w:val="nil"/>
              <w:bottom w:val="single" w:sz="4" w:space="0" w:color="auto"/>
              <w:right w:val="single" w:sz="4" w:space="0" w:color="auto"/>
            </w:tcBorders>
            <w:shd w:val="clear" w:color="auto" w:fill="auto"/>
            <w:noWrap/>
            <w:vAlign w:val="center"/>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100.00%</w:t>
            </w:r>
          </w:p>
        </w:tc>
        <w:tc>
          <w:tcPr>
            <w:tcW w:w="1599" w:type="dxa"/>
            <w:tcBorders>
              <w:top w:val="nil"/>
              <w:left w:val="nil"/>
              <w:bottom w:val="single" w:sz="4" w:space="0" w:color="auto"/>
              <w:right w:val="single" w:sz="4" w:space="0" w:color="auto"/>
            </w:tcBorders>
            <w:shd w:val="clear" w:color="auto" w:fill="auto"/>
            <w:noWrap/>
            <w:vAlign w:val="center"/>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N/C</w:t>
            </w:r>
          </w:p>
        </w:tc>
        <w:tc>
          <w:tcPr>
            <w:tcW w:w="1599" w:type="dxa"/>
            <w:tcBorders>
              <w:top w:val="nil"/>
              <w:left w:val="nil"/>
              <w:bottom w:val="single" w:sz="4" w:space="0" w:color="auto"/>
              <w:right w:val="single" w:sz="4" w:space="0" w:color="auto"/>
            </w:tcBorders>
            <w:shd w:val="clear" w:color="auto" w:fill="auto"/>
            <w:noWrap/>
            <w:vAlign w:val="center"/>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N/C</w:t>
            </w:r>
          </w:p>
        </w:tc>
        <w:tc>
          <w:tcPr>
            <w:tcW w:w="1606" w:type="dxa"/>
            <w:tcBorders>
              <w:top w:val="nil"/>
              <w:left w:val="nil"/>
              <w:bottom w:val="single" w:sz="4" w:space="0" w:color="auto"/>
              <w:right w:val="single" w:sz="8" w:space="0" w:color="auto"/>
            </w:tcBorders>
            <w:shd w:val="clear" w:color="auto" w:fill="auto"/>
            <w:noWrap/>
            <w:vAlign w:val="center"/>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0%</w:t>
            </w:r>
          </w:p>
        </w:tc>
      </w:tr>
    </w:tbl>
    <w:p w:rsidR="00BF44DE" w:rsidRDefault="00BF44DE" w:rsidP="00BF44DE"/>
    <w:p w:rsidR="00BF44DE" w:rsidRDefault="00BF44DE" w:rsidP="00BF44DE"/>
    <w:p w:rsidR="00BF44DE" w:rsidRDefault="00BF44DE" w:rsidP="00BF44DE"/>
    <w:p w:rsidR="00BF44DE" w:rsidRDefault="00BF44DE" w:rsidP="00BF44DE"/>
    <w:p w:rsidR="00BF44DE" w:rsidRDefault="00BF44DE" w:rsidP="00BF44DE"/>
    <w:p w:rsidR="00BF44DE" w:rsidRDefault="00BF44DE" w:rsidP="00BF44DE"/>
    <w:p w:rsidR="00BF44DE" w:rsidRDefault="00BF44DE" w:rsidP="00BF44DE"/>
    <w:p w:rsidR="00BF44DE" w:rsidRDefault="00BF44DE" w:rsidP="00BF44DE"/>
    <w:p w:rsidR="00BF44DE" w:rsidRDefault="00BF44DE" w:rsidP="00BF44DE"/>
    <w:tbl>
      <w:tblPr>
        <w:tblStyle w:val="Grilledutableau"/>
        <w:tblW w:w="0" w:type="auto"/>
        <w:tblLook w:val="04A0" w:firstRow="1" w:lastRow="0" w:firstColumn="1" w:lastColumn="0" w:noHBand="0" w:noVBand="1"/>
      </w:tblPr>
      <w:tblGrid>
        <w:gridCol w:w="2240"/>
        <w:gridCol w:w="8216"/>
      </w:tblGrid>
      <w:tr w:rsidR="00BF44DE" w:rsidRPr="007C23CA" w:rsidTr="005D25E7">
        <w:trPr>
          <w:trHeight w:val="126"/>
        </w:trPr>
        <w:tc>
          <w:tcPr>
            <w:tcW w:w="2263" w:type="dxa"/>
            <w:shd w:val="clear" w:color="auto" w:fill="D0CECE" w:themeFill="background2" w:themeFillShade="E6"/>
            <w:hideMark/>
          </w:tcPr>
          <w:p w:rsidR="00BF44DE" w:rsidRPr="007C23CA" w:rsidRDefault="00BF44DE" w:rsidP="005D25E7">
            <w:pPr>
              <w:rPr>
                <w:b/>
                <w:bCs/>
                <w:sz w:val="20"/>
                <w:szCs w:val="20"/>
              </w:rPr>
            </w:pPr>
            <w:r w:rsidRPr="007C23CA">
              <w:rPr>
                <w:b/>
                <w:bCs/>
                <w:sz w:val="20"/>
                <w:szCs w:val="20"/>
              </w:rPr>
              <w:t>Class of Instrument</w:t>
            </w:r>
          </w:p>
        </w:tc>
        <w:tc>
          <w:tcPr>
            <w:tcW w:w="8356" w:type="dxa"/>
            <w:hideMark/>
          </w:tcPr>
          <w:p w:rsidR="00BF44DE" w:rsidRPr="00D1626F" w:rsidRDefault="00BF44DE" w:rsidP="005D25E7">
            <w:pPr>
              <w:rPr>
                <w:rFonts w:ascii="Verdana" w:hAnsi="Verdana"/>
                <w:b/>
                <w:bCs/>
                <w:sz w:val="20"/>
                <w:szCs w:val="20"/>
              </w:rPr>
            </w:pPr>
            <w:r w:rsidRPr="00D1626F">
              <w:rPr>
                <w:rFonts w:ascii="Verdana" w:hAnsi="Verdana"/>
                <w:b/>
                <w:bCs/>
                <w:sz w:val="20"/>
                <w:szCs w:val="20"/>
              </w:rPr>
              <w:t>Equities – Shares &amp; Depositary Receipts – Tick size liquidity bands 1 and 2 (from 0 to 79 trades per day)</w:t>
            </w:r>
          </w:p>
        </w:tc>
      </w:tr>
    </w:tbl>
    <w:p w:rsidR="00BF44DE" w:rsidRPr="00BF44DE" w:rsidRDefault="00BF44DE" w:rsidP="00BF44DE">
      <w:pPr>
        <w:rPr>
          <w:rFonts w:ascii="Verdana" w:hAnsi="Verdana"/>
          <w:noProof/>
          <w:lang w:eastAsia="nl-BE"/>
        </w:rPr>
      </w:pPr>
    </w:p>
    <w:tbl>
      <w:tblPr>
        <w:tblW w:w="9735" w:type="dxa"/>
        <w:tblCellMar>
          <w:left w:w="70" w:type="dxa"/>
          <w:right w:w="70" w:type="dxa"/>
        </w:tblCellMar>
        <w:tblLook w:val="04A0" w:firstRow="1" w:lastRow="0" w:firstColumn="1" w:lastColumn="0" w:noHBand="0" w:noVBand="1"/>
      </w:tblPr>
      <w:tblGrid>
        <w:gridCol w:w="2543"/>
        <w:gridCol w:w="1575"/>
        <w:gridCol w:w="1575"/>
        <w:gridCol w:w="1575"/>
        <w:gridCol w:w="1575"/>
        <w:gridCol w:w="1579"/>
      </w:tblGrid>
      <w:tr w:rsidR="00BF44DE" w:rsidRPr="00BF44DE" w:rsidTr="00BF44DE">
        <w:trPr>
          <w:trHeight w:val="150"/>
        </w:trPr>
        <w:tc>
          <w:tcPr>
            <w:tcW w:w="9735" w:type="dxa"/>
            <w:gridSpan w:val="6"/>
            <w:tcBorders>
              <w:top w:val="single" w:sz="8" w:space="0" w:color="auto"/>
              <w:left w:val="single" w:sz="8" w:space="0" w:color="auto"/>
              <w:bottom w:val="single" w:sz="8" w:space="0" w:color="auto"/>
              <w:right w:val="single" w:sz="8" w:space="0" w:color="000000"/>
            </w:tcBorders>
            <w:shd w:val="clear" w:color="auto" w:fill="auto"/>
            <w:noWrap/>
            <w:hideMark/>
          </w:tcPr>
          <w:p w:rsidR="00BF44DE" w:rsidRPr="00BF44DE" w:rsidRDefault="00BF44DE" w:rsidP="00BF44DE">
            <w:pPr>
              <w:spacing w:after="0" w:line="240" w:lineRule="auto"/>
              <w:jc w:val="center"/>
              <w:rPr>
                <w:rFonts w:ascii="Verdana" w:eastAsia="Times New Roman" w:hAnsi="Verdana" w:cs="Times New Roman"/>
                <w:b/>
                <w:bCs/>
                <w:color w:val="000000"/>
                <w:sz w:val="18"/>
                <w:szCs w:val="18"/>
                <w:lang w:val="nl-BE" w:eastAsia="nl-BE"/>
              </w:rPr>
            </w:pPr>
            <w:r w:rsidRPr="00BF44DE">
              <w:rPr>
                <w:rFonts w:ascii="Verdana" w:eastAsia="Times New Roman" w:hAnsi="Verdana" w:cs="Times New Roman"/>
                <w:b/>
                <w:bCs/>
                <w:color w:val="000000"/>
                <w:sz w:val="18"/>
                <w:szCs w:val="18"/>
                <w:lang w:val="nl-BE" w:eastAsia="nl-BE"/>
              </w:rPr>
              <w:t>TOP 5 COUNTERPARTIES</w:t>
            </w:r>
          </w:p>
        </w:tc>
      </w:tr>
      <w:tr w:rsidR="00BF44DE" w:rsidRPr="00BF44DE" w:rsidTr="00BF44DE">
        <w:trPr>
          <w:trHeight w:val="143"/>
        </w:trPr>
        <w:tc>
          <w:tcPr>
            <w:tcW w:w="1856" w:type="dxa"/>
            <w:tcBorders>
              <w:top w:val="nil"/>
              <w:left w:val="single" w:sz="8" w:space="0" w:color="auto"/>
              <w:bottom w:val="single" w:sz="4" w:space="0" w:color="auto"/>
              <w:right w:val="single" w:sz="4" w:space="0" w:color="auto"/>
            </w:tcBorders>
            <w:shd w:val="clear" w:color="000000" w:fill="6CACE4"/>
            <w:hideMark/>
          </w:tcPr>
          <w:p w:rsidR="00BF44DE" w:rsidRPr="00BF44DE" w:rsidRDefault="00BF44DE" w:rsidP="00BF44DE">
            <w:pPr>
              <w:spacing w:after="0" w:line="240" w:lineRule="auto"/>
              <w:rPr>
                <w:rFonts w:ascii="Verdana" w:eastAsia="Times New Roman" w:hAnsi="Verdana" w:cs="Times New Roman"/>
                <w:b/>
                <w:bCs/>
                <w:color w:val="000000"/>
                <w:sz w:val="18"/>
                <w:szCs w:val="18"/>
                <w:lang w:val="nl-BE" w:eastAsia="nl-BE"/>
              </w:rPr>
            </w:pPr>
            <w:r w:rsidRPr="00BF44DE">
              <w:rPr>
                <w:rFonts w:ascii="Verdana" w:eastAsia="Times New Roman" w:hAnsi="Verdana" w:cs="Times New Roman"/>
                <w:b/>
                <w:bCs/>
                <w:color w:val="000000"/>
                <w:sz w:val="18"/>
                <w:szCs w:val="18"/>
                <w:lang w:val="nl-BE" w:eastAsia="nl-BE"/>
              </w:rPr>
              <w:t>Client Type</w:t>
            </w:r>
          </w:p>
        </w:tc>
        <w:tc>
          <w:tcPr>
            <w:tcW w:w="7879" w:type="dxa"/>
            <w:gridSpan w:val="5"/>
            <w:tcBorders>
              <w:top w:val="single" w:sz="8" w:space="0" w:color="auto"/>
              <w:left w:val="nil"/>
              <w:bottom w:val="single" w:sz="4" w:space="0" w:color="auto"/>
              <w:right w:val="single" w:sz="8" w:space="0" w:color="000000"/>
            </w:tcBorders>
            <w:shd w:val="clear" w:color="auto" w:fill="auto"/>
            <w:noWrap/>
            <w:hideMark/>
          </w:tcPr>
          <w:p w:rsidR="00BF44DE" w:rsidRPr="00BF44DE" w:rsidRDefault="00BF44DE" w:rsidP="00BF44DE">
            <w:pPr>
              <w:spacing w:after="0" w:line="240" w:lineRule="auto"/>
              <w:jc w:val="center"/>
              <w:rPr>
                <w:rFonts w:ascii="Verdana" w:eastAsia="Times New Roman" w:hAnsi="Verdana" w:cs="Times New Roman"/>
                <w:b/>
                <w:bCs/>
                <w:color w:val="000000"/>
                <w:sz w:val="18"/>
                <w:szCs w:val="18"/>
                <w:lang w:val="nl-BE" w:eastAsia="nl-BE"/>
              </w:rPr>
            </w:pPr>
            <w:r w:rsidRPr="00BF44DE">
              <w:rPr>
                <w:rFonts w:ascii="Verdana" w:eastAsia="Times New Roman" w:hAnsi="Verdana" w:cs="Times New Roman"/>
                <w:b/>
                <w:bCs/>
                <w:color w:val="000000"/>
                <w:sz w:val="18"/>
                <w:szCs w:val="18"/>
                <w:lang w:val="nl-BE" w:eastAsia="nl-BE"/>
              </w:rPr>
              <w:t>Retail Clients</w:t>
            </w:r>
          </w:p>
        </w:tc>
      </w:tr>
      <w:tr w:rsidR="00BF44DE" w:rsidRPr="00BF44DE" w:rsidTr="00BF44DE">
        <w:trPr>
          <w:trHeight w:val="344"/>
        </w:trPr>
        <w:tc>
          <w:tcPr>
            <w:tcW w:w="1856" w:type="dxa"/>
            <w:tcBorders>
              <w:top w:val="nil"/>
              <w:left w:val="single" w:sz="8" w:space="0" w:color="auto"/>
              <w:bottom w:val="single" w:sz="4" w:space="0" w:color="auto"/>
              <w:right w:val="single" w:sz="4" w:space="0" w:color="auto"/>
            </w:tcBorders>
            <w:shd w:val="clear" w:color="000000" w:fill="6CACE4"/>
            <w:hideMark/>
          </w:tcPr>
          <w:p w:rsidR="00BF44DE" w:rsidRPr="00BF44DE" w:rsidRDefault="00BF44DE" w:rsidP="00BF44DE">
            <w:pPr>
              <w:spacing w:after="0" w:line="240" w:lineRule="auto"/>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Notification if &lt;1 average trade per business day in the previous year</w:t>
            </w:r>
          </w:p>
        </w:tc>
        <w:tc>
          <w:tcPr>
            <w:tcW w:w="787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BF44DE" w:rsidRPr="00BF44DE" w:rsidRDefault="00BF44DE" w:rsidP="00BF44DE">
            <w:pPr>
              <w:spacing w:after="0" w:line="240" w:lineRule="auto"/>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N</w:t>
            </w:r>
          </w:p>
        </w:tc>
      </w:tr>
      <w:tr w:rsidR="00BF44DE" w:rsidRPr="00BF44DE" w:rsidTr="00BF44DE">
        <w:trPr>
          <w:trHeight w:val="430"/>
        </w:trPr>
        <w:tc>
          <w:tcPr>
            <w:tcW w:w="1856" w:type="dxa"/>
            <w:tcBorders>
              <w:top w:val="nil"/>
              <w:left w:val="single" w:sz="8" w:space="0" w:color="auto"/>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Top five execution venues</w:t>
            </w:r>
            <w:r w:rsidRPr="00BF44DE">
              <w:rPr>
                <w:rFonts w:ascii="Verdana" w:eastAsia="Times New Roman" w:hAnsi="Verdana" w:cs="Times New Roman"/>
                <w:b/>
                <w:bCs/>
                <w:color w:val="000000"/>
                <w:sz w:val="18"/>
                <w:szCs w:val="18"/>
                <w:lang w:eastAsia="nl-BE"/>
              </w:rPr>
              <w:t xml:space="preserve"> </w:t>
            </w:r>
            <w:r w:rsidRPr="00BF44DE">
              <w:rPr>
                <w:rFonts w:ascii="Verdana" w:eastAsia="Times New Roman" w:hAnsi="Verdana" w:cs="Times New Roman"/>
                <w:color w:val="000000"/>
                <w:sz w:val="18"/>
                <w:szCs w:val="18"/>
                <w:lang w:eastAsia="nl-BE"/>
              </w:rPr>
              <w:t>ranked in terms of trading volumes (descending order)</w:t>
            </w:r>
          </w:p>
        </w:tc>
        <w:tc>
          <w:tcPr>
            <w:tcW w:w="1575" w:type="dxa"/>
            <w:tcBorders>
              <w:top w:val="nil"/>
              <w:left w:val="nil"/>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Proportion of volume traded as a percentage of total in that class</w:t>
            </w:r>
          </w:p>
        </w:tc>
        <w:tc>
          <w:tcPr>
            <w:tcW w:w="1575" w:type="dxa"/>
            <w:tcBorders>
              <w:top w:val="nil"/>
              <w:left w:val="nil"/>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Proportion of orders executed as percentage of total in that class</w:t>
            </w:r>
          </w:p>
        </w:tc>
        <w:tc>
          <w:tcPr>
            <w:tcW w:w="1575" w:type="dxa"/>
            <w:tcBorders>
              <w:top w:val="nil"/>
              <w:left w:val="nil"/>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Percentage of passive orders</w:t>
            </w:r>
          </w:p>
        </w:tc>
        <w:tc>
          <w:tcPr>
            <w:tcW w:w="1575" w:type="dxa"/>
            <w:tcBorders>
              <w:top w:val="nil"/>
              <w:left w:val="nil"/>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Percentage of aggressive orders</w:t>
            </w:r>
          </w:p>
        </w:tc>
        <w:tc>
          <w:tcPr>
            <w:tcW w:w="1575" w:type="dxa"/>
            <w:tcBorders>
              <w:top w:val="nil"/>
              <w:left w:val="nil"/>
              <w:bottom w:val="single" w:sz="4" w:space="0" w:color="auto"/>
              <w:right w:val="single" w:sz="8"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Percentage of directed orders</w:t>
            </w:r>
          </w:p>
        </w:tc>
      </w:tr>
      <w:tr w:rsidR="00BF44DE" w:rsidRPr="00BF44DE" w:rsidTr="00BF44DE">
        <w:trPr>
          <w:trHeight w:val="816"/>
        </w:trPr>
        <w:tc>
          <w:tcPr>
            <w:tcW w:w="1856" w:type="dxa"/>
            <w:tcBorders>
              <w:top w:val="nil"/>
              <w:left w:val="single" w:sz="8" w:space="0" w:color="auto"/>
              <w:bottom w:val="single" w:sz="4" w:space="0" w:color="auto"/>
              <w:right w:val="single" w:sz="4" w:space="0" w:color="auto"/>
            </w:tcBorders>
            <w:shd w:val="clear" w:color="auto" w:fill="auto"/>
            <w:vAlign w:val="center"/>
            <w:hideMark/>
          </w:tcPr>
          <w:p w:rsidR="00BF44DE" w:rsidRPr="00BF44DE" w:rsidRDefault="00BF44DE" w:rsidP="00BF44DE">
            <w:pPr>
              <w:spacing w:after="0" w:line="240" w:lineRule="auto"/>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CAPITALATWORK FOYER GROUP S.A.</w:t>
            </w:r>
            <w:r w:rsidRPr="00BF44DE">
              <w:rPr>
                <w:rFonts w:ascii="Verdana" w:eastAsia="Times New Roman" w:hAnsi="Verdana" w:cs="Times New Roman"/>
                <w:color w:val="000000"/>
                <w:sz w:val="18"/>
                <w:szCs w:val="18"/>
                <w:lang w:eastAsia="nl-BE"/>
              </w:rPr>
              <w:br/>
              <w:t>549300G1S24HHV2HX706</w:t>
            </w:r>
          </w:p>
        </w:tc>
        <w:tc>
          <w:tcPr>
            <w:tcW w:w="1575" w:type="dxa"/>
            <w:tcBorders>
              <w:top w:val="nil"/>
              <w:left w:val="nil"/>
              <w:bottom w:val="single" w:sz="4" w:space="0" w:color="auto"/>
              <w:right w:val="single" w:sz="4" w:space="0" w:color="auto"/>
            </w:tcBorders>
            <w:shd w:val="clear" w:color="auto" w:fill="auto"/>
            <w:noWrap/>
            <w:vAlign w:val="center"/>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100.00%</w:t>
            </w:r>
          </w:p>
        </w:tc>
        <w:tc>
          <w:tcPr>
            <w:tcW w:w="1575" w:type="dxa"/>
            <w:tcBorders>
              <w:top w:val="nil"/>
              <w:left w:val="nil"/>
              <w:bottom w:val="single" w:sz="4" w:space="0" w:color="auto"/>
              <w:right w:val="single" w:sz="4" w:space="0" w:color="auto"/>
            </w:tcBorders>
            <w:shd w:val="clear" w:color="auto" w:fill="auto"/>
            <w:noWrap/>
            <w:vAlign w:val="center"/>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100.00%</w:t>
            </w:r>
          </w:p>
        </w:tc>
        <w:tc>
          <w:tcPr>
            <w:tcW w:w="1575" w:type="dxa"/>
            <w:tcBorders>
              <w:top w:val="nil"/>
              <w:left w:val="nil"/>
              <w:bottom w:val="single" w:sz="4" w:space="0" w:color="auto"/>
              <w:right w:val="single" w:sz="4" w:space="0" w:color="auto"/>
            </w:tcBorders>
            <w:shd w:val="clear" w:color="auto" w:fill="auto"/>
            <w:noWrap/>
            <w:vAlign w:val="center"/>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N/C</w:t>
            </w:r>
          </w:p>
        </w:tc>
        <w:tc>
          <w:tcPr>
            <w:tcW w:w="1575" w:type="dxa"/>
            <w:tcBorders>
              <w:top w:val="nil"/>
              <w:left w:val="nil"/>
              <w:bottom w:val="single" w:sz="4" w:space="0" w:color="auto"/>
              <w:right w:val="single" w:sz="4" w:space="0" w:color="auto"/>
            </w:tcBorders>
            <w:shd w:val="clear" w:color="auto" w:fill="auto"/>
            <w:noWrap/>
            <w:vAlign w:val="center"/>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N/C</w:t>
            </w:r>
          </w:p>
        </w:tc>
        <w:tc>
          <w:tcPr>
            <w:tcW w:w="1575" w:type="dxa"/>
            <w:tcBorders>
              <w:top w:val="nil"/>
              <w:left w:val="nil"/>
              <w:bottom w:val="single" w:sz="4" w:space="0" w:color="auto"/>
              <w:right w:val="single" w:sz="8" w:space="0" w:color="auto"/>
            </w:tcBorders>
            <w:shd w:val="clear" w:color="auto" w:fill="auto"/>
            <w:noWrap/>
            <w:vAlign w:val="center"/>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0%</w:t>
            </w:r>
          </w:p>
        </w:tc>
      </w:tr>
    </w:tbl>
    <w:p w:rsidR="00BF44DE" w:rsidRDefault="00BF44DE" w:rsidP="00BF44DE"/>
    <w:p w:rsidR="00BF44DE" w:rsidRDefault="00BF44DE" w:rsidP="00BF44DE"/>
    <w:p w:rsidR="00BF44DE" w:rsidRDefault="00BF44DE" w:rsidP="00BF44DE"/>
    <w:tbl>
      <w:tblPr>
        <w:tblStyle w:val="Grilledutableau"/>
        <w:tblW w:w="0" w:type="auto"/>
        <w:tblLook w:val="04A0" w:firstRow="1" w:lastRow="0" w:firstColumn="1" w:lastColumn="0" w:noHBand="0" w:noVBand="1"/>
      </w:tblPr>
      <w:tblGrid>
        <w:gridCol w:w="2246"/>
        <w:gridCol w:w="8210"/>
      </w:tblGrid>
      <w:tr w:rsidR="00BF44DE" w:rsidRPr="007C23CA" w:rsidTr="005D25E7">
        <w:trPr>
          <w:trHeight w:val="126"/>
        </w:trPr>
        <w:tc>
          <w:tcPr>
            <w:tcW w:w="2263" w:type="dxa"/>
            <w:shd w:val="clear" w:color="auto" w:fill="D0CECE" w:themeFill="background2" w:themeFillShade="E6"/>
            <w:hideMark/>
          </w:tcPr>
          <w:p w:rsidR="00BF44DE" w:rsidRPr="00BF44DE" w:rsidRDefault="00BF44DE" w:rsidP="005D25E7">
            <w:pPr>
              <w:rPr>
                <w:rFonts w:ascii="Verdana" w:hAnsi="Verdana"/>
                <w:b/>
                <w:bCs/>
                <w:sz w:val="20"/>
                <w:szCs w:val="20"/>
              </w:rPr>
            </w:pPr>
            <w:r w:rsidRPr="00BF44DE">
              <w:rPr>
                <w:rFonts w:ascii="Verdana" w:hAnsi="Verdana"/>
                <w:b/>
                <w:bCs/>
                <w:sz w:val="20"/>
                <w:szCs w:val="20"/>
              </w:rPr>
              <w:t>Class of Instrument</w:t>
            </w:r>
          </w:p>
        </w:tc>
        <w:tc>
          <w:tcPr>
            <w:tcW w:w="8356" w:type="dxa"/>
            <w:hideMark/>
          </w:tcPr>
          <w:p w:rsidR="00BF44DE" w:rsidRPr="00BF44DE" w:rsidRDefault="00BF44DE" w:rsidP="005D25E7">
            <w:pPr>
              <w:rPr>
                <w:rFonts w:ascii="Verdana" w:hAnsi="Verdana"/>
                <w:b/>
                <w:bCs/>
                <w:sz w:val="20"/>
                <w:szCs w:val="20"/>
              </w:rPr>
            </w:pPr>
            <w:r w:rsidRPr="00BF44DE">
              <w:rPr>
                <w:rFonts w:ascii="Verdana" w:hAnsi="Verdana"/>
                <w:b/>
                <w:bCs/>
                <w:sz w:val="20"/>
                <w:szCs w:val="20"/>
              </w:rPr>
              <w:t>Debt instruments - Bonds</w:t>
            </w:r>
          </w:p>
        </w:tc>
      </w:tr>
    </w:tbl>
    <w:p w:rsidR="00BF44DE" w:rsidRDefault="00BF44DE" w:rsidP="00BF44DE"/>
    <w:tbl>
      <w:tblPr>
        <w:tblW w:w="10381" w:type="dxa"/>
        <w:tblCellMar>
          <w:left w:w="70" w:type="dxa"/>
          <w:right w:w="70" w:type="dxa"/>
        </w:tblCellMar>
        <w:tblLook w:val="04A0" w:firstRow="1" w:lastRow="0" w:firstColumn="1" w:lastColumn="0" w:noHBand="0" w:noVBand="1"/>
      </w:tblPr>
      <w:tblGrid>
        <w:gridCol w:w="2444"/>
        <w:gridCol w:w="1600"/>
        <w:gridCol w:w="1600"/>
        <w:gridCol w:w="1600"/>
        <w:gridCol w:w="1600"/>
        <w:gridCol w:w="1602"/>
      </w:tblGrid>
      <w:tr w:rsidR="00BF44DE" w:rsidRPr="00BF44DE" w:rsidTr="00BF44DE">
        <w:trPr>
          <w:trHeight w:val="315"/>
        </w:trPr>
        <w:tc>
          <w:tcPr>
            <w:tcW w:w="10381" w:type="dxa"/>
            <w:gridSpan w:val="6"/>
            <w:tcBorders>
              <w:top w:val="single" w:sz="8" w:space="0" w:color="auto"/>
              <w:left w:val="single" w:sz="8" w:space="0" w:color="auto"/>
              <w:bottom w:val="single" w:sz="8" w:space="0" w:color="auto"/>
              <w:right w:val="single" w:sz="8" w:space="0" w:color="000000"/>
            </w:tcBorders>
            <w:shd w:val="clear" w:color="auto" w:fill="auto"/>
            <w:noWrap/>
            <w:hideMark/>
          </w:tcPr>
          <w:p w:rsidR="00BF44DE" w:rsidRPr="00BF44DE" w:rsidRDefault="00BF44DE" w:rsidP="00BF44DE">
            <w:pPr>
              <w:spacing w:after="0" w:line="240" w:lineRule="auto"/>
              <w:jc w:val="center"/>
              <w:rPr>
                <w:rFonts w:ascii="Verdana" w:eastAsia="Times New Roman" w:hAnsi="Verdana" w:cs="Times New Roman"/>
                <w:b/>
                <w:bCs/>
                <w:color w:val="000000"/>
                <w:sz w:val="18"/>
                <w:szCs w:val="18"/>
                <w:lang w:val="nl-BE" w:eastAsia="nl-BE"/>
              </w:rPr>
            </w:pPr>
            <w:r w:rsidRPr="00BF44DE">
              <w:rPr>
                <w:rFonts w:ascii="Verdana" w:eastAsia="Times New Roman" w:hAnsi="Verdana" w:cs="Times New Roman"/>
                <w:b/>
                <w:bCs/>
                <w:color w:val="000000"/>
                <w:sz w:val="18"/>
                <w:szCs w:val="18"/>
                <w:lang w:val="nl-BE" w:eastAsia="nl-BE"/>
              </w:rPr>
              <w:t>TOP 5 COUNTERPARTIES</w:t>
            </w:r>
          </w:p>
        </w:tc>
      </w:tr>
      <w:tr w:rsidR="00BF44DE" w:rsidRPr="00BF44DE" w:rsidTr="00BF44DE">
        <w:trPr>
          <w:trHeight w:val="300"/>
        </w:trPr>
        <w:tc>
          <w:tcPr>
            <w:tcW w:w="2059" w:type="dxa"/>
            <w:tcBorders>
              <w:top w:val="nil"/>
              <w:left w:val="single" w:sz="8" w:space="0" w:color="auto"/>
              <w:bottom w:val="single" w:sz="4" w:space="0" w:color="auto"/>
              <w:right w:val="single" w:sz="4" w:space="0" w:color="auto"/>
            </w:tcBorders>
            <w:shd w:val="clear" w:color="000000" w:fill="6CACE4"/>
            <w:hideMark/>
          </w:tcPr>
          <w:p w:rsidR="00BF44DE" w:rsidRPr="00BF44DE" w:rsidRDefault="00BF44DE" w:rsidP="00BF44DE">
            <w:pPr>
              <w:spacing w:after="0" w:line="240" w:lineRule="auto"/>
              <w:rPr>
                <w:rFonts w:ascii="Verdana" w:eastAsia="Times New Roman" w:hAnsi="Verdana" w:cs="Times New Roman"/>
                <w:b/>
                <w:bCs/>
                <w:color w:val="000000"/>
                <w:sz w:val="18"/>
                <w:szCs w:val="18"/>
                <w:lang w:val="nl-BE" w:eastAsia="nl-BE"/>
              </w:rPr>
            </w:pPr>
            <w:r w:rsidRPr="00BF44DE">
              <w:rPr>
                <w:rFonts w:ascii="Verdana" w:eastAsia="Times New Roman" w:hAnsi="Verdana" w:cs="Times New Roman"/>
                <w:b/>
                <w:bCs/>
                <w:color w:val="000000"/>
                <w:sz w:val="18"/>
                <w:szCs w:val="18"/>
                <w:lang w:val="nl-BE" w:eastAsia="nl-BE"/>
              </w:rPr>
              <w:t>Client Type</w:t>
            </w:r>
          </w:p>
        </w:tc>
        <w:tc>
          <w:tcPr>
            <w:tcW w:w="8322" w:type="dxa"/>
            <w:gridSpan w:val="5"/>
            <w:tcBorders>
              <w:top w:val="single" w:sz="8" w:space="0" w:color="auto"/>
              <w:left w:val="nil"/>
              <w:bottom w:val="single" w:sz="4" w:space="0" w:color="auto"/>
              <w:right w:val="single" w:sz="8" w:space="0" w:color="000000"/>
            </w:tcBorders>
            <w:shd w:val="clear" w:color="auto" w:fill="auto"/>
            <w:noWrap/>
            <w:hideMark/>
          </w:tcPr>
          <w:p w:rsidR="00BF44DE" w:rsidRPr="00BF44DE" w:rsidRDefault="00BF44DE" w:rsidP="00BF44DE">
            <w:pPr>
              <w:spacing w:after="0" w:line="240" w:lineRule="auto"/>
              <w:jc w:val="center"/>
              <w:rPr>
                <w:rFonts w:ascii="Verdana" w:eastAsia="Times New Roman" w:hAnsi="Verdana" w:cs="Times New Roman"/>
                <w:b/>
                <w:bCs/>
                <w:color w:val="000000"/>
                <w:sz w:val="18"/>
                <w:szCs w:val="18"/>
                <w:lang w:val="nl-BE" w:eastAsia="nl-BE"/>
              </w:rPr>
            </w:pPr>
            <w:r w:rsidRPr="00BF44DE">
              <w:rPr>
                <w:rFonts w:ascii="Verdana" w:eastAsia="Times New Roman" w:hAnsi="Verdana" w:cs="Times New Roman"/>
                <w:b/>
                <w:bCs/>
                <w:color w:val="000000"/>
                <w:sz w:val="18"/>
                <w:szCs w:val="18"/>
                <w:lang w:val="nl-BE" w:eastAsia="nl-BE"/>
              </w:rPr>
              <w:t>Retail Clients</w:t>
            </w:r>
          </w:p>
        </w:tc>
      </w:tr>
      <w:tr w:rsidR="00BF44DE" w:rsidRPr="00BF44DE" w:rsidTr="00BF44DE">
        <w:trPr>
          <w:trHeight w:val="765"/>
        </w:trPr>
        <w:tc>
          <w:tcPr>
            <w:tcW w:w="2059" w:type="dxa"/>
            <w:tcBorders>
              <w:top w:val="nil"/>
              <w:left w:val="single" w:sz="8" w:space="0" w:color="auto"/>
              <w:bottom w:val="single" w:sz="4" w:space="0" w:color="auto"/>
              <w:right w:val="single" w:sz="4" w:space="0" w:color="auto"/>
            </w:tcBorders>
            <w:shd w:val="clear" w:color="000000" w:fill="6CACE4"/>
            <w:hideMark/>
          </w:tcPr>
          <w:p w:rsidR="00BF44DE" w:rsidRPr="00BF44DE" w:rsidRDefault="00BF44DE" w:rsidP="00BF44DE">
            <w:pPr>
              <w:spacing w:after="0" w:line="240" w:lineRule="auto"/>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Notification if &lt;1 average trade per business day in the previous year</w:t>
            </w:r>
          </w:p>
        </w:tc>
        <w:tc>
          <w:tcPr>
            <w:tcW w:w="8322" w:type="dxa"/>
            <w:gridSpan w:val="5"/>
            <w:tcBorders>
              <w:top w:val="single" w:sz="4" w:space="0" w:color="auto"/>
              <w:left w:val="nil"/>
              <w:bottom w:val="single" w:sz="4" w:space="0" w:color="auto"/>
              <w:right w:val="single" w:sz="8" w:space="0" w:color="000000"/>
            </w:tcBorders>
            <w:shd w:val="clear" w:color="auto" w:fill="auto"/>
            <w:noWrap/>
            <w:vAlign w:val="center"/>
            <w:hideMark/>
          </w:tcPr>
          <w:p w:rsidR="00BF44DE" w:rsidRPr="00BF44DE" w:rsidRDefault="00BF44DE" w:rsidP="00BF44DE">
            <w:pPr>
              <w:spacing w:after="0" w:line="240" w:lineRule="auto"/>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Y</w:t>
            </w:r>
          </w:p>
        </w:tc>
      </w:tr>
      <w:tr w:rsidR="00BF44DE" w:rsidRPr="00BF44DE" w:rsidTr="00BF44DE">
        <w:trPr>
          <w:trHeight w:val="1020"/>
        </w:trPr>
        <w:tc>
          <w:tcPr>
            <w:tcW w:w="2059" w:type="dxa"/>
            <w:tcBorders>
              <w:top w:val="nil"/>
              <w:left w:val="single" w:sz="8" w:space="0" w:color="auto"/>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Top five execution venues</w:t>
            </w:r>
            <w:r w:rsidRPr="00BF44DE">
              <w:rPr>
                <w:rFonts w:ascii="Verdana" w:eastAsia="Times New Roman" w:hAnsi="Verdana" w:cs="Times New Roman"/>
                <w:b/>
                <w:bCs/>
                <w:color w:val="000000"/>
                <w:sz w:val="18"/>
                <w:szCs w:val="18"/>
                <w:lang w:eastAsia="nl-BE"/>
              </w:rPr>
              <w:t xml:space="preserve"> </w:t>
            </w:r>
            <w:r w:rsidRPr="00BF44DE">
              <w:rPr>
                <w:rFonts w:ascii="Verdana" w:eastAsia="Times New Roman" w:hAnsi="Verdana" w:cs="Times New Roman"/>
                <w:color w:val="000000"/>
                <w:sz w:val="18"/>
                <w:szCs w:val="18"/>
                <w:lang w:eastAsia="nl-BE"/>
              </w:rPr>
              <w:t>ranked in terms of trading volumes (descending order)</w:t>
            </w:r>
          </w:p>
        </w:tc>
        <w:tc>
          <w:tcPr>
            <w:tcW w:w="1664" w:type="dxa"/>
            <w:tcBorders>
              <w:top w:val="nil"/>
              <w:left w:val="nil"/>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Proportion of volume traded as a percentage of total in that class</w:t>
            </w:r>
          </w:p>
        </w:tc>
        <w:tc>
          <w:tcPr>
            <w:tcW w:w="1664" w:type="dxa"/>
            <w:tcBorders>
              <w:top w:val="nil"/>
              <w:left w:val="nil"/>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Proportion of orders executed as percentage of total in that class</w:t>
            </w:r>
          </w:p>
        </w:tc>
        <w:tc>
          <w:tcPr>
            <w:tcW w:w="1664" w:type="dxa"/>
            <w:tcBorders>
              <w:top w:val="nil"/>
              <w:left w:val="nil"/>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Percentage of passive orders</w:t>
            </w:r>
          </w:p>
        </w:tc>
        <w:tc>
          <w:tcPr>
            <w:tcW w:w="1664" w:type="dxa"/>
            <w:tcBorders>
              <w:top w:val="nil"/>
              <w:left w:val="nil"/>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Percentage of aggressive orders</w:t>
            </w:r>
          </w:p>
        </w:tc>
        <w:tc>
          <w:tcPr>
            <w:tcW w:w="1664" w:type="dxa"/>
            <w:tcBorders>
              <w:top w:val="nil"/>
              <w:left w:val="nil"/>
              <w:bottom w:val="single" w:sz="4" w:space="0" w:color="auto"/>
              <w:right w:val="single" w:sz="8"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Percentage of directed orders</w:t>
            </w:r>
          </w:p>
        </w:tc>
      </w:tr>
      <w:tr w:rsidR="00BF44DE" w:rsidRPr="00BF44DE" w:rsidTr="00BF44DE">
        <w:trPr>
          <w:trHeight w:val="675"/>
        </w:trPr>
        <w:tc>
          <w:tcPr>
            <w:tcW w:w="2059" w:type="dxa"/>
            <w:tcBorders>
              <w:top w:val="nil"/>
              <w:left w:val="single" w:sz="8" w:space="0" w:color="auto"/>
              <w:bottom w:val="single" w:sz="4" w:space="0" w:color="auto"/>
              <w:right w:val="single" w:sz="4" w:space="0" w:color="auto"/>
            </w:tcBorders>
            <w:shd w:val="clear" w:color="auto" w:fill="auto"/>
            <w:vAlign w:val="center"/>
            <w:hideMark/>
          </w:tcPr>
          <w:p w:rsidR="00BF44DE" w:rsidRPr="00BF44DE" w:rsidRDefault="00BF44DE" w:rsidP="00BF44DE">
            <w:pPr>
              <w:spacing w:after="0" w:line="240" w:lineRule="auto"/>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CAPITALATWORK FOYER GROUP S.A.</w:t>
            </w:r>
            <w:r w:rsidRPr="00BF44DE">
              <w:rPr>
                <w:rFonts w:ascii="Verdana" w:eastAsia="Times New Roman" w:hAnsi="Verdana" w:cs="Times New Roman"/>
                <w:color w:val="000000"/>
                <w:sz w:val="18"/>
                <w:szCs w:val="18"/>
                <w:lang w:eastAsia="nl-BE"/>
              </w:rPr>
              <w:br/>
              <w:t>549300G1S24HHV2HX706</w:t>
            </w:r>
          </w:p>
        </w:tc>
        <w:tc>
          <w:tcPr>
            <w:tcW w:w="1664" w:type="dxa"/>
            <w:tcBorders>
              <w:top w:val="nil"/>
              <w:left w:val="nil"/>
              <w:bottom w:val="single" w:sz="4" w:space="0" w:color="auto"/>
              <w:right w:val="single" w:sz="4" w:space="0" w:color="auto"/>
            </w:tcBorders>
            <w:shd w:val="clear" w:color="auto" w:fill="auto"/>
            <w:noWrap/>
            <w:vAlign w:val="center"/>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100.00%</w:t>
            </w:r>
          </w:p>
        </w:tc>
        <w:tc>
          <w:tcPr>
            <w:tcW w:w="1664" w:type="dxa"/>
            <w:tcBorders>
              <w:top w:val="nil"/>
              <w:left w:val="nil"/>
              <w:bottom w:val="single" w:sz="4" w:space="0" w:color="auto"/>
              <w:right w:val="single" w:sz="4" w:space="0" w:color="auto"/>
            </w:tcBorders>
            <w:shd w:val="clear" w:color="auto" w:fill="auto"/>
            <w:noWrap/>
            <w:vAlign w:val="center"/>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100.00%</w:t>
            </w:r>
          </w:p>
        </w:tc>
        <w:tc>
          <w:tcPr>
            <w:tcW w:w="1664" w:type="dxa"/>
            <w:tcBorders>
              <w:top w:val="nil"/>
              <w:left w:val="nil"/>
              <w:bottom w:val="single" w:sz="4" w:space="0" w:color="auto"/>
              <w:right w:val="single" w:sz="4" w:space="0" w:color="auto"/>
            </w:tcBorders>
            <w:shd w:val="clear" w:color="auto" w:fill="auto"/>
            <w:noWrap/>
            <w:vAlign w:val="center"/>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N/C</w:t>
            </w:r>
          </w:p>
        </w:tc>
        <w:tc>
          <w:tcPr>
            <w:tcW w:w="1664" w:type="dxa"/>
            <w:tcBorders>
              <w:top w:val="nil"/>
              <w:left w:val="nil"/>
              <w:bottom w:val="single" w:sz="4" w:space="0" w:color="auto"/>
              <w:right w:val="single" w:sz="4" w:space="0" w:color="auto"/>
            </w:tcBorders>
            <w:shd w:val="clear" w:color="auto" w:fill="auto"/>
            <w:noWrap/>
            <w:vAlign w:val="center"/>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N/C</w:t>
            </w:r>
          </w:p>
        </w:tc>
        <w:tc>
          <w:tcPr>
            <w:tcW w:w="1664" w:type="dxa"/>
            <w:tcBorders>
              <w:top w:val="nil"/>
              <w:left w:val="nil"/>
              <w:bottom w:val="single" w:sz="4" w:space="0" w:color="auto"/>
              <w:right w:val="single" w:sz="8" w:space="0" w:color="auto"/>
            </w:tcBorders>
            <w:shd w:val="clear" w:color="auto" w:fill="auto"/>
            <w:noWrap/>
            <w:vAlign w:val="center"/>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0%</w:t>
            </w:r>
          </w:p>
        </w:tc>
      </w:tr>
    </w:tbl>
    <w:p w:rsidR="00BF44DE" w:rsidRDefault="00BF44DE" w:rsidP="00BF44DE"/>
    <w:p w:rsidR="00BF44DE" w:rsidRDefault="00BF44DE" w:rsidP="00BF44DE"/>
    <w:p w:rsidR="00BF44DE" w:rsidRDefault="00BF44DE" w:rsidP="00BF44DE"/>
    <w:p w:rsidR="00BF44DE" w:rsidRDefault="00BF44DE" w:rsidP="00BF44DE"/>
    <w:p w:rsidR="00BF44DE" w:rsidRDefault="00BF44DE" w:rsidP="00BF44DE"/>
    <w:p w:rsidR="00BF44DE" w:rsidRDefault="00BF44DE" w:rsidP="00BF44DE"/>
    <w:p w:rsidR="00BF44DE" w:rsidRDefault="00BF44DE" w:rsidP="00BF44DE"/>
    <w:p w:rsidR="00BF44DE" w:rsidRDefault="00BF44DE" w:rsidP="00BF44DE"/>
    <w:p w:rsidR="00BF44DE" w:rsidRDefault="00BF44DE" w:rsidP="00BF44DE"/>
    <w:p w:rsidR="00BF44DE" w:rsidRDefault="00BF44DE" w:rsidP="00BF44DE"/>
    <w:p w:rsidR="00BF44DE" w:rsidRDefault="00BF44DE" w:rsidP="00BF44DE"/>
    <w:tbl>
      <w:tblPr>
        <w:tblStyle w:val="Grilledutableau"/>
        <w:tblW w:w="0" w:type="auto"/>
        <w:tblLook w:val="04A0" w:firstRow="1" w:lastRow="0" w:firstColumn="1" w:lastColumn="0" w:noHBand="0" w:noVBand="1"/>
      </w:tblPr>
      <w:tblGrid>
        <w:gridCol w:w="2246"/>
        <w:gridCol w:w="8210"/>
      </w:tblGrid>
      <w:tr w:rsidR="00BF44DE" w:rsidRPr="00BF44DE" w:rsidTr="005D25E7">
        <w:trPr>
          <w:trHeight w:val="126"/>
        </w:trPr>
        <w:tc>
          <w:tcPr>
            <w:tcW w:w="2263" w:type="dxa"/>
            <w:shd w:val="clear" w:color="auto" w:fill="D0CECE" w:themeFill="background2" w:themeFillShade="E6"/>
            <w:hideMark/>
          </w:tcPr>
          <w:p w:rsidR="00BF44DE" w:rsidRPr="00BF44DE" w:rsidRDefault="00BF44DE" w:rsidP="005D25E7">
            <w:pPr>
              <w:rPr>
                <w:rFonts w:ascii="Verdana" w:hAnsi="Verdana"/>
                <w:b/>
                <w:bCs/>
                <w:sz w:val="20"/>
                <w:szCs w:val="20"/>
              </w:rPr>
            </w:pPr>
            <w:r w:rsidRPr="00BF44DE">
              <w:rPr>
                <w:rFonts w:ascii="Verdana" w:hAnsi="Verdana"/>
                <w:b/>
                <w:bCs/>
                <w:sz w:val="20"/>
                <w:szCs w:val="20"/>
              </w:rPr>
              <w:t>Class of Instrument</w:t>
            </w:r>
          </w:p>
        </w:tc>
        <w:tc>
          <w:tcPr>
            <w:tcW w:w="8356" w:type="dxa"/>
            <w:hideMark/>
          </w:tcPr>
          <w:p w:rsidR="00BF44DE" w:rsidRPr="00BF44DE" w:rsidRDefault="00BF44DE" w:rsidP="005D25E7">
            <w:pPr>
              <w:rPr>
                <w:rFonts w:ascii="Verdana" w:hAnsi="Verdana"/>
                <w:b/>
                <w:bCs/>
                <w:sz w:val="20"/>
                <w:szCs w:val="20"/>
              </w:rPr>
            </w:pPr>
            <w:r w:rsidRPr="00BF44DE">
              <w:rPr>
                <w:rFonts w:ascii="Verdana" w:hAnsi="Verdana"/>
                <w:b/>
                <w:bCs/>
                <w:sz w:val="20"/>
                <w:szCs w:val="20"/>
              </w:rPr>
              <w:t>Structured finance instruments</w:t>
            </w:r>
          </w:p>
        </w:tc>
      </w:tr>
    </w:tbl>
    <w:p w:rsidR="00BF44DE" w:rsidRDefault="00BF44DE" w:rsidP="00BF44DE"/>
    <w:tbl>
      <w:tblPr>
        <w:tblW w:w="10138" w:type="dxa"/>
        <w:tblCellMar>
          <w:left w:w="70" w:type="dxa"/>
          <w:right w:w="70" w:type="dxa"/>
        </w:tblCellMar>
        <w:tblLook w:val="04A0" w:firstRow="1" w:lastRow="0" w:firstColumn="1" w:lastColumn="0" w:noHBand="0" w:noVBand="1"/>
      </w:tblPr>
      <w:tblGrid>
        <w:gridCol w:w="2489"/>
        <w:gridCol w:w="1592"/>
        <w:gridCol w:w="1591"/>
        <w:gridCol w:w="1591"/>
        <w:gridCol w:w="1591"/>
        <w:gridCol w:w="1592"/>
      </w:tblGrid>
      <w:tr w:rsidR="00BF44DE" w:rsidRPr="00BF44DE" w:rsidTr="00BF44DE">
        <w:trPr>
          <w:trHeight w:val="352"/>
        </w:trPr>
        <w:tc>
          <w:tcPr>
            <w:tcW w:w="10138" w:type="dxa"/>
            <w:gridSpan w:val="6"/>
            <w:tcBorders>
              <w:top w:val="single" w:sz="8" w:space="0" w:color="auto"/>
              <w:left w:val="single" w:sz="8" w:space="0" w:color="auto"/>
              <w:bottom w:val="single" w:sz="8" w:space="0" w:color="auto"/>
              <w:right w:val="single" w:sz="8" w:space="0" w:color="000000"/>
            </w:tcBorders>
            <w:shd w:val="clear" w:color="auto" w:fill="auto"/>
            <w:noWrap/>
            <w:hideMark/>
          </w:tcPr>
          <w:p w:rsidR="00BF44DE" w:rsidRPr="00BF44DE" w:rsidRDefault="00BF44DE" w:rsidP="00BF44DE">
            <w:pPr>
              <w:spacing w:after="0" w:line="240" w:lineRule="auto"/>
              <w:jc w:val="center"/>
              <w:rPr>
                <w:rFonts w:ascii="Verdana" w:eastAsia="Times New Roman" w:hAnsi="Verdana" w:cs="Times New Roman"/>
                <w:b/>
                <w:bCs/>
                <w:color w:val="000000"/>
                <w:sz w:val="18"/>
                <w:szCs w:val="18"/>
                <w:lang w:val="nl-BE" w:eastAsia="nl-BE"/>
              </w:rPr>
            </w:pPr>
            <w:r w:rsidRPr="00BF44DE">
              <w:rPr>
                <w:rFonts w:ascii="Verdana" w:eastAsia="Times New Roman" w:hAnsi="Verdana" w:cs="Times New Roman"/>
                <w:b/>
                <w:bCs/>
                <w:color w:val="000000"/>
                <w:sz w:val="18"/>
                <w:szCs w:val="18"/>
                <w:lang w:val="nl-BE" w:eastAsia="nl-BE"/>
              </w:rPr>
              <w:t>TOP 5 COUNTERPARTIES</w:t>
            </w:r>
          </w:p>
        </w:tc>
      </w:tr>
      <w:tr w:rsidR="00BF44DE" w:rsidRPr="00BF44DE" w:rsidTr="00BF44DE">
        <w:trPr>
          <w:trHeight w:val="335"/>
        </w:trPr>
        <w:tc>
          <w:tcPr>
            <w:tcW w:w="2011" w:type="dxa"/>
            <w:tcBorders>
              <w:top w:val="nil"/>
              <w:left w:val="single" w:sz="8" w:space="0" w:color="auto"/>
              <w:bottom w:val="single" w:sz="4" w:space="0" w:color="auto"/>
              <w:right w:val="single" w:sz="4" w:space="0" w:color="auto"/>
            </w:tcBorders>
            <w:shd w:val="clear" w:color="000000" w:fill="6CACE4"/>
            <w:hideMark/>
          </w:tcPr>
          <w:p w:rsidR="00BF44DE" w:rsidRPr="00BF44DE" w:rsidRDefault="00BF44DE" w:rsidP="00BF44DE">
            <w:pPr>
              <w:spacing w:after="0" w:line="240" w:lineRule="auto"/>
              <w:rPr>
                <w:rFonts w:ascii="Verdana" w:eastAsia="Times New Roman" w:hAnsi="Verdana" w:cs="Times New Roman"/>
                <w:b/>
                <w:bCs/>
                <w:color w:val="000000"/>
                <w:sz w:val="18"/>
                <w:szCs w:val="18"/>
                <w:lang w:val="nl-BE" w:eastAsia="nl-BE"/>
              </w:rPr>
            </w:pPr>
            <w:r w:rsidRPr="00BF44DE">
              <w:rPr>
                <w:rFonts w:ascii="Verdana" w:eastAsia="Times New Roman" w:hAnsi="Verdana" w:cs="Times New Roman"/>
                <w:b/>
                <w:bCs/>
                <w:color w:val="000000"/>
                <w:sz w:val="18"/>
                <w:szCs w:val="18"/>
                <w:lang w:val="nl-BE" w:eastAsia="nl-BE"/>
              </w:rPr>
              <w:t>Client Type</w:t>
            </w:r>
          </w:p>
        </w:tc>
        <w:tc>
          <w:tcPr>
            <w:tcW w:w="8126" w:type="dxa"/>
            <w:gridSpan w:val="5"/>
            <w:tcBorders>
              <w:top w:val="single" w:sz="8" w:space="0" w:color="auto"/>
              <w:left w:val="nil"/>
              <w:bottom w:val="single" w:sz="4" w:space="0" w:color="auto"/>
              <w:right w:val="single" w:sz="8" w:space="0" w:color="000000"/>
            </w:tcBorders>
            <w:shd w:val="clear" w:color="auto" w:fill="auto"/>
            <w:noWrap/>
            <w:hideMark/>
          </w:tcPr>
          <w:p w:rsidR="00BF44DE" w:rsidRPr="00BF44DE" w:rsidRDefault="00BF44DE" w:rsidP="00BF44DE">
            <w:pPr>
              <w:spacing w:after="0" w:line="240" w:lineRule="auto"/>
              <w:jc w:val="center"/>
              <w:rPr>
                <w:rFonts w:ascii="Verdana" w:eastAsia="Times New Roman" w:hAnsi="Verdana" w:cs="Times New Roman"/>
                <w:b/>
                <w:bCs/>
                <w:color w:val="000000"/>
                <w:sz w:val="18"/>
                <w:szCs w:val="18"/>
                <w:lang w:val="nl-BE" w:eastAsia="nl-BE"/>
              </w:rPr>
            </w:pPr>
            <w:r w:rsidRPr="00BF44DE">
              <w:rPr>
                <w:rFonts w:ascii="Verdana" w:eastAsia="Times New Roman" w:hAnsi="Verdana" w:cs="Times New Roman"/>
                <w:b/>
                <w:bCs/>
                <w:color w:val="000000"/>
                <w:sz w:val="18"/>
                <w:szCs w:val="18"/>
                <w:lang w:val="nl-BE" w:eastAsia="nl-BE"/>
              </w:rPr>
              <w:t>Retail Clients</w:t>
            </w:r>
          </w:p>
        </w:tc>
      </w:tr>
      <w:tr w:rsidR="00BF44DE" w:rsidRPr="00BF44DE" w:rsidTr="00BF44DE">
        <w:trPr>
          <w:trHeight w:val="1007"/>
        </w:trPr>
        <w:tc>
          <w:tcPr>
            <w:tcW w:w="2011" w:type="dxa"/>
            <w:tcBorders>
              <w:top w:val="nil"/>
              <w:left w:val="single" w:sz="8" w:space="0" w:color="auto"/>
              <w:bottom w:val="single" w:sz="4" w:space="0" w:color="auto"/>
              <w:right w:val="single" w:sz="4" w:space="0" w:color="auto"/>
            </w:tcBorders>
            <w:shd w:val="clear" w:color="000000" w:fill="6CACE4"/>
            <w:hideMark/>
          </w:tcPr>
          <w:p w:rsidR="00BF44DE" w:rsidRPr="00BF44DE" w:rsidRDefault="00BF44DE" w:rsidP="00BF44DE">
            <w:pPr>
              <w:spacing w:after="0" w:line="240" w:lineRule="auto"/>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Notification if &lt;1 average trade per business day in the previous year</w:t>
            </w:r>
          </w:p>
        </w:tc>
        <w:tc>
          <w:tcPr>
            <w:tcW w:w="8126" w:type="dxa"/>
            <w:gridSpan w:val="5"/>
            <w:tcBorders>
              <w:top w:val="single" w:sz="4" w:space="0" w:color="auto"/>
              <w:left w:val="nil"/>
              <w:bottom w:val="single" w:sz="4" w:space="0" w:color="auto"/>
              <w:right w:val="single" w:sz="8" w:space="0" w:color="000000"/>
            </w:tcBorders>
            <w:shd w:val="clear" w:color="auto" w:fill="auto"/>
            <w:noWrap/>
            <w:vAlign w:val="center"/>
            <w:hideMark/>
          </w:tcPr>
          <w:p w:rsidR="00BF44DE" w:rsidRPr="00BF44DE" w:rsidRDefault="00BF44DE" w:rsidP="00BF44DE">
            <w:pPr>
              <w:spacing w:after="0" w:line="240" w:lineRule="auto"/>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Y</w:t>
            </w:r>
          </w:p>
        </w:tc>
      </w:tr>
      <w:tr w:rsidR="00BF44DE" w:rsidRPr="00BF44DE" w:rsidTr="00BF44DE">
        <w:trPr>
          <w:trHeight w:val="1007"/>
        </w:trPr>
        <w:tc>
          <w:tcPr>
            <w:tcW w:w="2011" w:type="dxa"/>
            <w:tcBorders>
              <w:top w:val="nil"/>
              <w:left w:val="single" w:sz="8" w:space="0" w:color="auto"/>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Top five execution venues</w:t>
            </w:r>
            <w:r w:rsidRPr="00BF44DE">
              <w:rPr>
                <w:rFonts w:ascii="Verdana" w:eastAsia="Times New Roman" w:hAnsi="Verdana" w:cs="Times New Roman"/>
                <w:b/>
                <w:bCs/>
                <w:color w:val="000000"/>
                <w:sz w:val="18"/>
                <w:szCs w:val="18"/>
                <w:lang w:eastAsia="nl-BE"/>
              </w:rPr>
              <w:t xml:space="preserve"> </w:t>
            </w:r>
            <w:r w:rsidRPr="00BF44DE">
              <w:rPr>
                <w:rFonts w:ascii="Verdana" w:eastAsia="Times New Roman" w:hAnsi="Verdana" w:cs="Times New Roman"/>
                <w:color w:val="000000"/>
                <w:sz w:val="18"/>
                <w:szCs w:val="18"/>
                <w:lang w:eastAsia="nl-BE"/>
              </w:rPr>
              <w:t>ranked in terms of trading volumes (descending order)</w:t>
            </w:r>
          </w:p>
        </w:tc>
        <w:tc>
          <w:tcPr>
            <w:tcW w:w="1625" w:type="dxa"/>
            <w:tcBorders>
              <w:top w:val="nil"/>
              <w:left w:val="nil"/>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Proportion of volume traded as a percentage of total in that class</w:t>
            </w:r>
          </w:p>
        </w:tc>
        <w:tc>
          <w:tcPr>
            <w:tcW w:w="1625" w:type="dxa"/>
            <w:tcBorders>
              <w:top w:val="nil"/>
              <w:left w:val="nil"/>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Proportion of orders executed as percentage of total in that class</w:t>
            </w:r>
          </w:p>
        </w:tc>
        <w:tc>
          <w:tcPr>
            <w:tcW w:w="1625" w:type="dxa"/>
            <w:tcBorders>
              <w:top w:val="nil"/>
              <w:left w:val="nil"/>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Percentage of passive orders</w:t>
            </w:r>
          </w:p>
        </w:tc>
        <w:tc>
          <w:tcPr>
            <w:tcW w:w="1625" w:type="dxa"/>
            <w:tcBorders>
              <w:top w:val="nil"/>
              <w:left w:val="nil"/>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Percentage of aggressive orders</w:t>
            </w:r>
          </w:p>
        </w:tc>
        <w:tc>
          <w:tcPr>
            <w:tcW w:w="1625" w:type="dxa"/>
            <w:tcBorders>
              <w:top w:val="nil"/>
              <w:left w:val="nil"/>
              <w:bottom w:val="single" w:sz="4" w:space="0" w:color="auto"/>
              <w:right w:val="single" w:sz="8"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Percentage of directed orders</w:t>
            </w:r>
          </w:p>
        </w:tc>
      </w:tr>
      <w:tr w:rsidR="00BF44DE" w:rsidRPr="00BF44DE" w:rsidTr="00BF44DE">
        <w:trPr>
          <w:trHeight w:val="755"/>
        </w:trPr>
        <w:tc>
          <w:tcPr>
            <w:tcW w:w="2011" w:type="dxa"/>
            <w:tcBorders>
              <w:top w:val="nil"/>
              <w:left w:val="single" w:sz="8" w:space="0" w:color="auto"/>
              <w:bottom w:val="single" w:sz="4" w:space="0" w:color="auto"/>
              <w:right w:val="single" w:sz="4" w:space="0" w:color="auto"/>
            </w:tcBorders>
            <w:shd w:val="clear" w:color="auto" w:fill="auto"/>
            <w:vAlign w:val="center"/>
            <w:hideMark/>
          </w:tcPr>
          <w:p w:rsidR="00BF44DE" w:rsidRPr="00BF44DE" w:rsidRDefault="00BF44DE" w:rsidP="00BF44DE">
            <w:pPr>
              <w:spacing w:after="0" w:line="240" w:lineRule="auto"/>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CAPITALATWORK FOYER GROUP S.A.</w:t>
            </w:r>
            <w:r w:rsidRPr="00BF44DE">
              <w:rPr>
                <w:rFonts w:ascii="Verdana" w:eastAsia="Times New Roman" w:hAnsi="Verdana" w:cs="Times New Roman"/>
                <w:color w:val="000000"/>
                <w:sz w:val="18"/>
                <w:szCs w:val="18"/>
                <w:lang w:eastAsia="nl-BE"/>
              </w:rPr>
              <w:br/>
              <w:t>549300G1S24HHV2HX706</w:t>
            </w:r>
          </w:p>
        </w:tc>
        <w:tc>
          <w:tcPr>
            <w:tcW w:w="1625" w:type="dxa"/>
            <w:tcBorders>
              <w:top w:val="nil"/>
              <w:left w:val="nil"/>
              <w:bottom w:val="single" w:sz="4" w:space="0" w:color="auto"/>
              <w:right w:val="single" w:sz="4" w:space="0" w:color="auto"/>
            </w:tcBorders>
            <w:shd w:val="clear" w:color="auto" w:fill="auto"/>
            <w:noWrap/>
            <w:vAlign w:val="center"/>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100.00%</w:t>
            </w:r>
          </w:p>
        </w:tc>
        <w:tc>
          <w:tcPr>
            <w:tcW w:w="1625" w:type="dxa"/>
            <w:tcBorders>
              <w:top w:val="nil"/>
              <w:left w:val="nil"/>
              <w:bottom w:val="single" w:sz="4" w:space="0" w:color="auto"/>
              <w:right w:val="single" w:sz="4" w:space="0" w:color="auto"/>
            </w:tcBorders>
            <w:shd w:val="clear" w:color="auto" w:fill="auto"/>
            <w:noWrap/>
            <w:vAlign w:val="center"/>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100.00%</w:t>
            </w:r>
          </w:p>
        </w:tc>
        <w:tc>
          <w:tcPr>
            <w:tcW w:w="1625" w:type="dxa"/>
            <w:tcBorders>
              <w:top w:val="nil"/>
              <w:left w:val="nil"/>
              <w:bottom w:val="single" w:sz="4" w:space="0" w:color="auto"/>
              <w:right w:val="single" w:sz="4" w:space="0" w:color="auto"/>
            </w:tcBorders>
            <w:shd w:val="clear" w:color="auto" w:fill="auto"/>
            <w:noWrap/>
            <w:vAlign w:val="center"/>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N/C</w:t>
            </w:r>
          </w:p>
        </w:tc>
        <w:tc>
          <w:tcPr>
            <w:tcW w:w="1625" w:type="dxa"/>
            <w:tcBorders>
              <w:top w:val="nil"/>
              <w:left w:val="nil"/>
              <w:bottom w:val="single" w:sz="4" w:space="0" w:color="auto"/>
              <w:right w:val="single" w:sz="4" w:space="0" w:color="auto"/>
            </w:tcBorders>
            <w:shd w:val="clear" w:color="auto" w:fill="auto"/>
            <w:noWrap/>
            <w:vAlign w:val="center"/>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N/C</w:t>
            </w:r>
          </w:p>
        </w:tc>
        <w:tc>
          <w:tcPr>
            <w:tcW w:w="1625" w:type="dxa"/>
            <w:tcBorders>
              <w:top w:val="nil"/>
              <w:left w:val="nil"/>
              <w:bottom w:val="single" w:sz="4" w:space="0" w:color="auto"/>
              <w:right w:val="single" w:sz="8" w:space="0" w:color="auto"/>
            </w:tcBorders>
            <w:shd w:val="clear" w:color="auto" w:fill="auto"/>
            <w:noWrap/>
            <w:vAlign w:val="center"/>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0%</w:t>
            </w:r>
          </w:p>
        </w:tc>
      </w:tr>
    </w:tbl>
    <w:p w:rsidR="00BF44DE" w:rsidRDefault="00BF44DE" w:rsidP="00BF44DE"/>
    <w:p w:rsidR="00BF44DE" w:rsidRDefault="00BF44DE" w:rsidP="00BF44DE"/>
    <w:p w:rsidR="00BF44DE" w:rsidRDefault="00BF44DE" w:rsidP="00BF44DE"/>
    <w:tbl>
      <w:tblPr>
        <w:tblStyle w:val="Grilledutableau"/>
        <w:tblW w:w="0" w:type="auto"/>
        <w:tblLook w:val="04A0" w:firstRow="1" w:lastRow="0" w:firstColumn="1" w:lastColumn="0" w:noHBand="0" w:noVBand="1"/>
      </w:tblPr>
      <w:tblGrid>
        <w:gridCol w:w="2247"/>
        <w:gridCol w:w="8209"/>
      </w:tblGrid>
      <w:tr w:rsidR="00BF44DE" w:rsidRPr="00BF44DE" w:rsidTr="005D25E7">
        <w:trPr>
          <w:trHeight w:val="126"/>
        </w:trPr>
        <w:tc>
          <w:tcPr>
            <w:tcW w:w="2263" w:type="dxa"/>
            <w:shd w:val="clear" w:color="auto" w:fill="D0CECE" w:themeFill="background2" w:themeFillShade="E6"/>
            <w:hideMark/>
          </w:tcPr>
          <w:p w:rsidR="00BF44DE" w:rsidRPr="00BF44DE" w:rsidRDefault="00BF44DE" w:rsidP="005D25E7">
            <w:pPr>
              <w:rPr>
                <w:rFonts w:ascii="Verdana" w:hAnsi="Verdana"/>
                <w:b/>
                <w:bCs/>
                <w:sz w:val="20"/>
                <w:szCs w:val="20"/>
              </w:rPr>
            </w:pPr>
            <w:r w:rsidRPr="00BF44DE">
              <w:rPr>
                <w:rFonts w:ascii="Verdana" w:hAnsi="Verdana"/>
                <w:b/>
                <w:bCs/>
                <w:sz w:val="20"/>
                <w:szCs w:val="20"/>
              </w:rPr>
              <w:t>Class of Instrument</w:t>
            </w:r>
          </w:p>
        </w:tc>
        <w:tc>
          <w:tcPr>
            <w:tcW w:w="8356" w:type="dxa"/>
            <w:hideMark/>
          </w:tcPr>
          <w:p w:rsidR="00BF44DE" w:rsidRPr="00BF44DE" w:rsidRDefault="00BF44DE" w:rsidP="005D25E7">
            <w:pPr>
              <w:rPr>
                <w:rFonts w:ascii="Verdana" w:hAnsi="Verdana"/>
                <w:b/>
                <w:bCs/>
                <w:sz w:val="20"/>
                <w:szCs w:val="20"/>
              </w:rPr>
            </w:pPr>
            <w:r w:rsidRPr="00BF44DE">
              <w:rPr>
                <w:rFonts w:ascii="Verdana" w:hAnsi="Verdana"/>
                <w:b/>
                <w:bCs/>
                <w:sz w:val="20"/>
                <w:szCs w:val="20"/>
              </w:rPr>
              <w:t>Equity Derivatives - Options and Futures admitted to trading on a trading venue</w:t>
            </w:r>
          </w:p>
        </w:tc>
      </w:tr>
    </w:tbl>
    <w:p w:rsidR="00BF44DE" w:rsidRDefault="00BF44DE" w:rsidP="00BF44DE"/>
    <w:tbl>
      <w:tblPr>
        <w:tblW w:w="10492" w:type="dxa"/>
        <w:tblCellMar>
          <w:left w:w="70" w:type="dxa"/>
          <w:right w:w="70" w:type="dxa"/>
        </w:tblCellMar>
        <w:tblLook w:val="04A0" w:firstRow="1" w:lastRow="0" w:firstColumn="1" w:lastColumn="0" w:noHBand="0" w:noVBand="1"/>
      </w:tblPr>
      <w:tblGrid>
        <w:gridCol w:w="2081"/>
        <w:gridCol w:w="1682"/>
        <w:gridCol w:w="1682"/>
        <w:gridCol w:w="1682"/>
        <w:gridCol w:w="1682"/>
        <w:gridCol w:w="1683"/>
      </w:tblGrid>
      <w:tr w:rsidR="00BF44DE" w:rsidRPr="00BF44DE" w:rsidTr="00BF44DE">
        <w:trPr>
          <w:trHeight w:val="458"/>
        </w:trPr>
        <w:tc>
          <w:tcPr>
            <w:tcW w:w="10492" w:type="dxa"/>
            <w:gridSpan w:val="6"/>
            <w:tcBorders>
              <w:top w:val="single" w:sz="8" w:space="0" w:color="auto"/>
              <w:left w:val="single" w:sz="8" w:space="0" w:color="auto"/>
              <w:bottom w:val="single" w:sz="8" w:space="0" w:color="auto"/>
              <w:right w:val="single" w:sz="8" w:space="0" w:color="000000"/>
            </w:tcBorders>
            <w:shd w:val="clear" w:color="auto" w:fill="auto"/>
            <w:noWrap/>
            <w:hideMark/>
          </w:tcPr>
          <w:p w:rsidR="00BF44DE" w:rsidRPr="00BF44DE" w:rsidRDefault="00BF44DE" w:rsidP="00BF44DE">
            <w:pPr>
              <w:spacing w:after="0" w:line="240" w:lineRule="auto"/>
              <w:jc w:val="center"/>
              <w:rPr>
                <w:rFonts w:ascii="Calibri" w:eastAsia="Times New Roman" w:hAnsi="Calibri" w:cs="Times New Roman"/>
                <w:b/>
                <w:bCs/>
                <w:color w:val="000000"/>
                <w:sz w:val="18"/>
                <w:szCs w:val="18"/>
                <w:lang w:val="nl-BE" w:eastAsia="nl-BE"/>
              </w:rPr>
            </w:pPr>
            <w:r w:rsidRPr="00BF44DE">
              <w:rPr>
                <w:rFonts w:ascii="Calibri" w:eastAsia="Times New Roman" w:hAnsi="Calibri" w:cs="Times New Roman"/>
                <w:b/>
                <w:bCs/>
                <w:color w:val="000000"/>
                <w:sz w:val="18"/>
                <w:szCs w:val="18"/>
                <w:lang w:val="nl-BE" w:eastAsia="nl-BE"/>
              </w:rPr>
              <w:t>TOP 5 COUNTERPARTIES</w:t>
            </w:r>
          </w:p>
        </w:tc>
      </w:tr>
      <w:tr w:rsidR="00BF44DE" w:rsidRPr="00BF44DE" w:rsidTr="00BF44DE">
        <w:trPr>
          <w:trHeight w:val="435"/>
        </w:trPr>
        <w:tc>
          <w:tcPr>
            <w:tcW w:w="2081" w:type="dxa"/>
            <w:tcBorders>
              <w:top w:val="nil"/>
              <w:left w:val="single" w:sz="8" w:space="0" w:color="auto"/>
              <w:bottom w:val="single" w:sz="4" w:space="0" w:color="auto"/>
              <w:right w:val="single" w:sz="4" w:space="0" w:color="auto"/>
            </w:tcBorders>
            <w:shd w:val="clear" w:color="000000" w:fill="6CACE4"/>
            <w:hideMark/>
          </w:tcPr>
          <w:p w:rsidR="00BF44DE" w:rsidRPr="00BF44DE" w:rsidRDefault="00BF44DE" w:rsidP="00BF44DE">
            <w:pPr>
              <w:spacing w:after="0" w:line="240" w:lineRule="auto"/>
              <w:rPr>
                <w:rFonts w:ascii="Calibri" w:eastAsia="Times New Roman" w:hAnsi="Calibri" w:cs="Times New Roman"/>
                <w:b/>
                <w:bCs/>
                <w:color w:val="000000"/>
                <w:sz w:val="18"/>
                <w:szCs w:val="18"/>
                <w:lang w:val="nl-BE" w:eastAsia="nl-BE"/>
              </w:rPr>
            </w:pPr>
            <w:r w:rsidRPr="00BF44DE">
              <w:rPr>
                <w:rFonts w:ascii="Calibri" w:eastAsia="Times New Roman" w:hAnsi="Calibri" w:cs="Times New Roman"/>
                <w:b/>
                <w:bCs/>
                <w:color w:val="000000"/>
                <w:sz w:val="18"/>
                <w:szCs w:val="18"/>
                <w:lang w:val="nl-BE" w:eastAsia="nl-BE"/>
              </w:rPr>
              <w:t>Client Type</w:t>
            </w:r>
          </w:p>
        </w:tc>
        <w:tc>
          <w:tcPr>
            <w:tcW w:w="8411" w:type="dxa"/>
            <w:gridSpan w:val="5"/>
            <w:tcBorders>
              <w:top w:val="single" w:sz="8" w:space="0" w:color="auto"/>
              <w:left w:val="nil"/>
              <w:bottom w:val="single" w:sz="4" w:space="0" w:color="auto"/>
              <w:right w:val="single" w:sz="8" w:space="0" w:color="000000"/>
            </w:tcBorders>
            <w:shd w:val="clear" w:color="auto" w:fill="auto"/>
            <w:noWrap/>
            <w:hideMark/>
          </w:tcPr>
          <w:p w:rsidR="00BF44DE" w:rsidRPr="00BF44DE" w:rsidRDefault="00BF44DE" w:rsidP="00BF44DE">
            <w:pPr>
              <w:spacing w:after="0" w:line="240" w:lineRule="auto"/>
              <w:jc w:val="center"/>
              <w:rPr>
                <w:rFonts w:ascii="Calibri" w:eastAsia="Times New Roman" w:hAnsi="Calibri" w:cs="Times New Roman"/>
                <w:b/>
                <w:bCs/>
                <w:color w:val="000000"/>
                <w:sz w:val="18"/>
                <w:szCs w:val="18"/>
                <w:lang w:val="nl-BE" w:eastAsia="nl-BE"/>
              </w:rPr>
            </w:pPr>
            <w:r w:rsidRPr="00BF44DE">
              <w:rPr>
                <w:rFonts w:ascii="Calibri" w:eastAsia="Times New Roman" w:hAnsi="Calibri" w:cs="Times New Roman"/>
                <w:b/>
                <w:bCs/>
                <w:color w:val="000000"/>
                <w:sz w:val="18"/>
                <w:szCs w:val="18"/>
                <w:lang w:val="nl-BE" w:eastAsia="nl-BE"/>
              </w:rPr>
              <w:t>Retail Clients</w:t>
            </w:r>
          </w:p>
        </w:tc>
      </w:tr>
      <w:tr w:rsidR="00BF44DE" w:rsidRPr="00BF44DE" w:rsidTr="00BF44DE">
        <w:trPr>
          <w:trHeight w:val="1310"/>
        </w:trPr>
        <w:tc>
          <w:tcPr>
            <w:tcW w:w="2081" w:type="dxa"/>
            <w:tcBorders>
              <w:top w:val="nil"/>
              <w:left w:val="single" w:sz="8" w:space="0" w:color="auto"/>
              <w:bottom w:val="single" w:sz="4" w:space="0" w:color="auto"/>
              <w:right w:val="single" w:sz="4" w:space="0" w:color="auto"/>
            </w:tcBorders>
            <w:shd w:val="clear" w:color="000000" w:fill="6CACE4"/>
            <w:hideMark/>
          </w:tcPr>
          <w:p w:rsidR="00BF44DE" w:rsidRPr="00BF44DE" w:rsidRDefault="00BF44DE" w:rsidP="00BF44DE">
            <w:pPr>
              <w:spacing w:after="0" w:line="240" w:lineRule="auto"/>
              <w:rPr>
                <w:rFonts w:ascii="Calibri" w:eastAsia="Times New Roman" w:hAnsi="Calibri" w:cs="Times New Roman"/>
                <w:color w:val="000000"/>
                <w:sz w:val="18"/>
                <w:szCs w:val="18"/>
                <w:lang w:eastAsia="nl-BE"/>
              </w:rPr>
            </w:pPr>
            <w:r w:rsidRPr="00BF44DE">
              <w:rPr>
                <w:rFonts w:ascii="Calibri" w:eastAsia="Times New Roman" w:hAnsi="Calibri" w:cs="Times New Roman"/>
                <w:color w:val="000000"/>
                <w:sz w:val="18"/>
                <w:szCs w:val="18"/>
                <w:lang w:eastAsia="nl-BE"/>
              </w:rPr>
              <w:t>Notification if &lt;1 average trade per business day in the previous year</w:t>
            </w:r>
          </w:p>
        </w:tc>
        <w:tc>
          <w:tcPr>
            <w:tcW w:w="8411" w:type="dxa"/>
            <w:gridSpan w:val="5"/>
            <w:tcBorders>
              <w:top w:val="single" w:sz="4" w:space="0" w:color="auto"/>
              <w:left w:val="nil"/>
              <w:bottom w:val="single" w:sz="4" w:space="0" w:color="auto"/>
              <w:right w:val="single" w:sz="8" w:space="0" w:color="000000"/>
            </w:tcBorders>
            <w:shd w:val="clear" w:color="auto" w:fill="auto"/>
            <w:noWrap/>
            <w:vAlign w:val="center"/>
            <w:hideMark/>
          </w:tcPr>
          <w:p w:rsidR="00BF44DE" w:rsidRPr="00BF44DE" w:rsidRDefault="00BF44DE" w:rsidP="00BF44DE">
            <w:pPr>
              <w:spacing w:after="0" w:line="240" w:lineRule="auto"/>
              <w:rPr>
                <w:rFonts w:ascii="Calibri" w:eastAsia="Times New Roman" w:hAnsi="Calibri" w:cs="Times New Roman"/>
                <w:color w:val="000000"/>
                <w:sz w:val="18"/>
                <w:szCs w:val="18"/>
                <w:lang w:val="nl-BE" w:eastAsia="nl-BE"/>
              </w:rPr>
            </w:pPr>
            <w:r w:rsidRPr="00BF44DE">
              <w:rPr>
                <w:rFonts w:ascii="Calibri" w:eastAsia="Times New Roman" w:hAnsi="Calibri" w:cs="Times New Roman"/>
                <w:color w:val="000000"/>
                <w:sz w:val="18"/>
                <w:szCs w:val="18"/>
                <w:lang w:val="nl-BE" w:eastAsia="nl-BE"/>
              </w:rPr>
              <w:t>Y</w:t>
            </w:r>
          </w:p>
        </w:tc>
      </w:tr>
      <w:tr w:rsidR="00BF44DE" w:rsidRPr="00BF44DE" w:rsidTr="00BF44DE">
        <w:trPr>
          <w:trHeight w:val="1310"/>
        </w:trPr>
        <w:tc>
          <w:tcPr>
            <w:tcW w:w="2081" w:type="dxa"/>
            <w:tcBorders>
              <w:top w:val="nil"/>
              <w:left w:val="single" w:sz="8" w:space="0" w:color="auto"/>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Calibri" w:eastAsia="Times New Roman" w:hAnsi="Calibri" w:cs="Times New Roman"/>
                <w:color w:val="000000"/>
                <w:sz w:val="18"/>
                <w:szCs w:val="18"/>
                <w:lang w:eastAsia="nl-BE"/>
              </w:rPr>
            </w:pPr>
            <w:r w:rsidRPr="00BF44DE">
              <w:rPr>
                <w:rFonts w:ascii="Calibri" w:eastAsia="Times New Roman" w:hAnsi="Calibri" w:cs="Times New Roman"/>
                <w:color w:val="000000"/>
                <w:sz w:val="18"/>
                <w:szCs w:val="18"/>
                <w:lang w:eastAsia="nl-BE"/>
              </w:rPr>
              <w:t>Top five execution venues</w:t>
            </w:r>
            <w:r w:rsidRPr="00BF44DE">
              <w:rPr>
                <w:rFonts w:ascii="Calibri" w:eastAsia="Times New Roman" w:hAnsi="Calibri" w:cs="Times New Roman"/>
                <w:b/>
                <w:bCs/>
                <w:color w:val="000000"/>
                <w:sz w:val="18"/>
                <w:szCs w:val="18"/>
                <w:lang w:eastAsia="nl-BE"/>
              </w:rPr>
              <w:t xml:space="preserve"> </w:t>
            </w:r>
            <w:r w:rsidRPr="00BF44DE">
              <w:rPr>
                <w:rFonts w:ascii="Calibri" w:eastAsia="Times New Roman" w:hAnsi="Calibri" w:cs="Times New Roman"/>
                <w:color w:val="000000"/>
                <w:sz w:val="18"/>
                <w:szCs w:val="18"/>
                <w:lang w:eastAsia="nl-BE"/>
              </w:rPr>
              <w:t>ranked in terms of trading volumes (descending order)</w:t>
            </w:r>
          </w:p>
        </w:tc>
        <w:tc>
          <w:tcPr>
            <w:tcW w:w="1682" w:type="dxa"/>
            <w:tcBorders>
              <w:top w:val="nil"/>
              <w:left w:val="nil"/>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Calibri" w:eastAsia="Times New Roman" w:hAnsi="Calibri" w:cs="Times New Roman"/>
                <w:color w:val="000000"/>
                <w:sz w:val="18"/>
                <w:szCs w:val="18"/>
                <w:lang w:eastAsia="nl-BE"/>
              </w:rPr>
            </w:pPr>
            <w:r w:rsidRPr="00BF44DE">
              <w:rPr>
                <w:rFonts w:ascii="Calibri" w:eastAsia="Times New Roman" w:hAnsi="Calibri" w:cs="Times New Roman"/>
                <w:color w:val="000000"/>
                <w:sz w:val="18"/>
                <w:szCs w:val="18"/>
                <w:lang w:eastAsia="nl-BE"/>
              </w:rPr>
              <w:t>Proportion of volume traded as a percentage of total in that class</w:t>
            </w:r>
          </w:p>
        </w:tc>
        <w:tc>
          <w:tcPr>
            <w:tcW w:w="1682" w:type="dxa"/>
            <w:tcBorders>
              <w:top w:val="nil"/>
              <w:left w:val="nil"/>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Calibri" w:eastAsia="Times New Roman" w:hAnsi="Calibri" w:cs="Times New Roman"/>
                <w:color w:val="000000"/>
                <w:sz w:val="18"/>
                <w:szCs w:val="18"/>
                <w:lang w:eastAsia="nl-BE"/>
              </w:rPr>
            </w:pPr>
            <w:r w:rsidRPr="00BF44DE">
              <w:rPr>
                <w:rFonts w:ascii="Calibri" w:eastAsia="Times New Roman" w:hAnsi="Calibri" w:cs="Times New Roman"/>
                <w:color w:val="000000"/>
                <w:sz w:val="18"/>
                <w:szCs w:val="18"/>
                <w:lang w:eastAsia="nl-BE"/>
              </w:rPr>
              <w:t>Proportion of orders executed as percentage of total in that class</w:t>
            </w:r>
          </w:p>
        </w:tc>
        <w:tc>
          <w:tcPr>
            <w:tcW w:w="1682" w:type="dxa"/>
            <w:tcBorders>
              <w:top w:val="nil"/>
              <w:left w:val="nil"/>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Calibri" w:eastAsia="Times New Roman" w:hAnsi="Calibri" w:cs="Times New Roman"/>
                <w:color w:val="000000"/>
                <w:sz w:val="18"/>
                <w:szCs w:val="18"/>
                <w:lang w:val="nl-BE" w:eastAsia="nl-BE"/>
              </w:rPr>
            </w:pPr>
            <w:r w:rsidRPr="00BF44DE">
              <w:rPr>
                <w:rFonts w:ascii="Calibri" w:eastAsia="Times New Roman" w:hAnsi="Calibri" w:cs="Times New Roman"/>
                <w:color w:val="000000"/>
                <w:sz w:val="18"/>
                <w:szCs w:val="18"/>
                <w:lang w:val="nl-BE" w:eastAsia="nl-BE"/>
              </w:rPr>
              <w:t>Percentage of passive orders</w:t>
            </w:r>
          </w:p>
        </w:tc>
        <w:tc>
          <w:tcPr>
            <w:tcW w:w="1682" w:type="dxa"/>
            <w:tcBorders>
              <w:top w:val="nil"/>
              <w:left w:val="nil"/>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Calibri" w:eastAsia="Times New Roman" w:hAnsi="Calibri" w:cs="Times New Roman"/>
                <w:color w:val="000000"/>
                <w:sz w:val="18"/>
                <w:szCs w:val="18"/>
                <w:lang w:val="nl-BE" w:eastAsia="nl-BE"/>
              </w:rPr>
            </w:pPr>
            <w:r w:rsidRPr="00BF44DE">
              <w:rPr>
                <w:rFonts w:ascii="Calibri" w:eastAsia="Times New Roman" w:hAnsi="Calibri" w:cs="Times New Roman"/>
                <w:color w:val="000000"/>
                <w:sz w:val="18"/>
                <w:szCs w:val="18"/>
                <w:lang w:val="nl-BE" w:eastAsia="nl-BE"/>
              </w:rPr>
              <w:t>Percentage of aggressive orders</w:t>
            </w:r>
          </w:p>
        </w:tc>
        <w:tc>
          <w:tcPr>
            <w:tcW w:w="1683" w:type="dxa"/>
            <w:tcBorders>
              <w:top w:val="nil"/>
              <w:left w:val="nil"/>
              <w:bottom w:val="single" w:sz="4" w:space="0" w:color="auto"/>
              <w:right w:val="single" w:sz="8" w:space="0" w:color="auto"/>
            </w:tcBorders>
            <w:shd w:val="clear" w:color="000000" w:fill="6CACE4"/>
            <w:hideMark/>
          </w:tcPr>
          <w:p w:rsidR="00BF44DE" w:rsidRPr="00BF44DE" w:rsidRDefault="00BF44DE" w:rsidP="00BF44DE">
            <w:pPr>
              <w:spacing w:after="0" w:line="240" w:lineRule="auto"/>
              <w:jc w:val="center"/>
              <w:rPr>
                <w:rFonts w:ascii="Calibri" w:eastAsia="Times New Roman" w:hAnsi="Calibri" w:cs="Times New Roman"/>
                <w:color w:val="000000"/>
                <w:sz w:val="18"/>
                <w:szCs w:val="18"/>
                <w:lang w:val="nl-BE" w:eastAsia="nl-BE"/>
              </w:rPr>
            </w:pPr>
            <w:r w:rsidRPr="00BF44DE">
              <w:rPr>
                <w:rFonts w:ascii="Calibri" w:eastAsia="Times New Roman" w:hAnsi="Calibri" w:cs="Times New Roman"/>
                <w:color w:val="000000"/>
                <w:sz w:val="18"/>
                <w:szCs w:val="18"/>
                <w:lang w:val="nl-BE" w:eastAsia="nl-BE"/>
              </w:rPr>
              <w:t>Percentage of directed orders</w:t>
            </w:r>
          </w:p>
        </w:tc>
      </w:tr>
      <w:tr w:rsidR="00BF44DE" w:rsidRPr="00BF44DE" w:rsidTr="00BF44DE">
        <w:trPr>
          <w:trHeight w:val="698"/>
        </w:trPr>
        <w:tc>
          <w:tcPr>
            <w:tcW w:w="2081" w:type="dxa"/>
            <w:tcBorders>
              <w:top w:val="nil"/>
              <w:left w:val="single" w:sz="8" w:space="0" w:color="auto"/>
              <w:bottom w:val="single" w:sz="4" w:space="0" w:color="auto"/>
              <w:right w:val="single" w:sz="4" w:space="0" w:color="auto"/>
            </w:tcBorders>
            <w:shd w:val="clear" w:color="auto" w:fill="auto"/>
            <w:vAlign w:val="center"/>
            <w:hideMark/>
          </w:tcPr>
          <w:p w:rsidR="00BF44DE" w:rsidRPr="00BF44DE" w:rsidRDefault="00BF44DE" w:rsidP="00BF44DE">
            <w:pPr>
              <w:spacing w:after="0" w:line="240" w:lineRule="auto"/>
              <w:rPr>
                <w:rFonts w:ascii="Calibri" w:eastAsia="Times New Roman" w:hAnsi="Calibri" w:cs="Times New Roman"/>
                <w:color w:val="000000"/>
                <w:sz w:val="18"/>
                <w:szCs w:val="18"/>
                <w:lang w:eastAsia="nl-BE"/>
              </w:rPr>
            </w:pPr>
            <w:r w:rsidRPr="00BF44DE">
              <w:rPr>
                <w:rFonts w:ascii="Calibri" w:eastAsia="Times New Roman" w:hAnsi="Calibri" w:cs="Times New Roman"/>
                <w:color w:val="000000"/>
                <w:sz w:val="18"/>
                <w:szCs w:val="18"/>
                <w:lang w:eastAsia="nl-BE"/>
              </w:rPr>
              <w:t>CAPITALATWORK FOYER GROUP S.A.</w:t>
            </w:r>
            <w:r w:rsidRPr="00BF44DE">
              <w:rPr>
                <w:rFonts w:ascii="Calibri" w:eastAsia="Times New Roman" w:hAnsi="Calibri" w:cs="Times New Roman"/>
                <w:color w:val="000000"/>
                <w:sz w:val="18"/>
                <w:szCs w:val="18"/>
                <w:lang w:eastAsia="nl-BE"/>
              </w:rPr>
              <w:br/>
              <w:t>549300G1S24HHV2HX706</w:t>
            </w:r>
          </w:p>
        </w:tc>
        <w:tc>
          <w:tcPr>
            <w:tcW w:w="1682" w:type="dxa"/>
            <w:tcBorders>
              <w:top w:val="nil"/>
              <w:left w:val="nil"/>
              <w:bottom w:val="single" w:sz="4" w:space="0" w:color="auto"/>
              <w:right w:val="single" w:sz="4" w:space="0" w:color="auto"/>
            </w:tcBorders>
            <w:shd w:val="clear" w:color="auto" w:fill="auto"/>
            <w:noWrap/>
            <w:vAlign w:val="center"/>
            <w:hideMark/>
          </w:tcPr>
          <w:p w:rsidR="00BF44DE" w:rsidRPr="00BF44DE" w:rsidRDefault="00BF44DE" w:rsidP="00BF44DE">
            <w:pPr>
              <w:spacing w:after="0" w:line="240" w:lineRule="auto"/>
              <w:jc w:val="center"/>
              <w:rPr>
                <w:rFonts w:ascii="Calibri" w:eastAsia="Times New Roman" w:hAnsi="Calibri" w:cs="Times New Roman"/>
                <w:color w:val="000000"/>
                <w:sz w:val="18"/>
                <w:szCs w:val="18"/>
                <w:lang w:val="nl-BE" w:eastAsia="nl-BE"/>
              </w:rPr>
            </w:pPr>
            <w:r w:rsidRPr="00BF44DE">
              <w:rPr>
                <w:rFonts w:ascii="Calibri" w:eastAsia="Times New Roman" w:hAnsi="Calibri" w:cs="Times New Roman"/>
                <w:color w:val="000000"/>
                <w:sz w:val="18"/>
                <w:szCs w:val="18"/>
                <w:lang w:val="nl-BE" w:eastAsia="nl-BE"/>
              </w:rPr>
              <w:t>100.00%</w:t>
            </w:r>
          </w:p>
        </w:tc>
        <w:tc>
          <w:tcPr>
            <w:tcW w:w="1682" w:type="dxa"/>
            <w:tcBorders>
              <w:top w:val="nil"/>
              <w:left w:val="nil"/>
              <w:bottom w:val="single" w:sz="4" w:space="0" w:color="auto"/>
              <w:right w:val="single" w:sz="4" w:space="0" w:color="auto"/>
            </w:tcBorders>
            <w:shd w:val="clear" w:color="auto" w:fill="auto"/>
            <w:noWrap/>
            <w:vAlign w:val="center"/>
            <w:hideMark/>
          </w:tcPr>
          <w:p w:rsidR="00BF44DE" w:rsidRPr="00BF44DE" w:rsidRDefault="00BF44DE" w:rsidP="00BF44DE">
            <w:pPr>
              <w:spacing w:after="0" w:line="240" w:lineRule="auto"/>
              <w:jc w:val="center"/>
              <w:rPr>
                <w:rFonts w:ascii="Calibri" w:eastAsia="Times New Roman" w:hAnsi="Calibri" w:cs="Times New Roman"/>
                <w:color w:val="000000"/>
                <w:sz w:val="18"/>
                <w:szCs w:val="18"/>
                <w:lang w:val="nl-BE" w:eastAsia="nl-BE"/>
              </w:rPr>
            </w:pPr>
            <w:r w:rsidRPr="00BF44DE">
              <w:rPr>
                <w:rFonts w:ascii="Calibri" w:eastAsia="Times New Roman" w:hAnsi="Calibri" w:cs="Times New Roman"/>
                <w:color w:val="000000"/>
                <w:sz w:val="18"/>
                <w:szCs w:val="18"/>
                <w:lang w:val="nl-BE" w:eastAsia="nl-BE"/>
              </w:rPr>
              <w:t>100.00%</w:t>
            </w:r>
          </w:p>
        </w:tc>
        <w:tc>
          <w:tcPr>
            <w:tcW w:w="1682" w:type="dxa"/>
            <w:tcBorders>
              <w:top w:val="nil"/>
              <w:left w:val="nil"/>
              <w:bottom w:val="single" w:sz="4" w:space="0" w:color="auto"/>
              <w:right w:val="single" w:sz="4" w:space="0" w:color="auto"/>
            </w:tcBorders>
            <w:shd w:val="clear" w:color="auto" w:fill="auto"/>
            <w:noWrap/>
            <w:vAlign w:val="center"/>
            <w:hideMark/>
          </w:tcPr>
          <w:p w:rsidR="00BF44DE" w:rsidRPr="00BF44DE" w:rsidRDefault="00BF44DE" w:rsidP="00BF44DE">
            <w:pPr>
              <w:spacing w:after="0" w:line="240" w:lineRule="auto"/>
              <w:jc w:val="center"/>
              <w:rPr>
                <w:rFonts w:ascii="Calibri" w:eastAsia="Times New Roman" w:hAnsi="Calibri" w:cs="Times New Roman"/>
                <w:color w:val="000000"/>
                <w:sz w:val="18"/>
                <w:szCs w:val="18"/>
                <w:lang w:val="nl-BE" w:eastAsia="nl-BE"/>
              </w:rPr>
            </w:pPr>
            <w:r w:rsidRPr="00BF44DE">
              <w:rPr>
                <w:rFonts w:ascii="Calibri" w:eastAsia="Times New Roman" w:hAnsi="Calibri" w:cs="Times New Roman"/>
                <w:color w:val="000000"/>
                <w:sz w:val="18"/>
                <w:szCs w:val="18"/>
                <w:lang w:val="nl-BE" w:eastAsia="nl-BE"/>
              </w:rPr>
              <w:t>N/C</w:t>
            </w:r>
          </w:p>
        </w:tc>
        <w:tc>
          <w:tcPr>
            <w:tcW w:w="1682" w:type="dxa"/>
            <w:tcBorders>
              <w:top w:val="nil"/>
              <w:left w:val="nil"/>
              <w:bottom w:val="single" w:sz="4" w:space="0" w:color="auto"/>
              <w:right w:val="single" w:sz="4" w:space="0" w:color="auto"/>
            </w:tcBorders>
            <w:shd w:val="clear" w:color="auto" w:fill="auto"/>
            <w:noWrap/>
            <w:vAlign w:val="center"/>
            <w:hideMark/>
          </w:tcPr>
          <w:p w:rsidR="00BF44DE" w:rsidRPr="00BF44DE" w:rsidRDefault="00BF44DE" w:rsidP="00BF44DE">
            <w:pPr>
              <w:spacing w:after="0" w:line="240" w:lineRule="auto"/>
              <w:jc w:val="center"/>
              <w:rPr>
                <w:rFonts w:ascii="Calibri" w:eastAsia="Times New Roman" w:hAnsi="Calibri" w:cs="Times New Roman"/>
                <w:color w:val="000000"/>
                <w:sz w:val="18"/>
                <w:szCs w:val="18"/>
                <w:lang w:val="nl-BE" w:eastAsia="nl-BE"/>
              </w:rPr>
            </w:pPr>
            <w:r w:rsidRPr="00BF44DE">
              <w:rPr>
                <w:rFonts w:ascii="Calibri" w:eastAsia="Times New Roman" w:hAnsi="Calibri" w:cs="Times New Roman"/>
                <w:color w:val="000000"/>
                <w:sz w:val="18"/>
                <w:szCs w:val="18"/>
                <w:lang w:val="nl-BE" w:eastAsia="nl-BE"/>
              </w:rPr>
              <w:t>N/C</w:t>
            </w:r>
          </w:p>
        </w:tc>
        <w:tc>
          <w:tcPr>
            <w:tcW w:w="1683" w:type="dxa"/>
            <w:tcBorders>
              <w:top w:val="nil"/>
              <w:left w:val="nil"/>
              <w:bottom w:val="single" w:sz="4" w:space="0" w:color="auto"/>
              <w:right w:val="single" w:sz="8" w:space="0" w:color="auto"/>
            </w:tcBorders>
            <w:shd w:val="clear" w:color="auto" w:fill="auto"/>
            <w:noWrap/>
            <w:vAlign w:val="center"/>
            <w:hideMark/>
          </w:tcPr>
          <w:p w:rsidR="00BF44DE" w:rsidRPr="00BF44DE" w:rsidRDefault="00BF44DE" w:rsidP="00BF44DE">
            <w:pPr>
              <w:spacing w:after="0" w:line="240" w:lineRule="auto"/>
              <w:jc w:val="center"/>
              <w:rPr>
                <w:rFonts w:ascii="Calibri" w:eastAsia="Times New Roman" w:hAnsi="Calibri" w:cs="Times New Roman"/>
                <w:color w:val="000000"/>
                <w:sz w:val="18"/>
                <w:szCs w:val="18"/>
                <w:lang w:val="nl-BE" w:eastAsia="nl-BE"/>
              </w:rPr>
            </w:pPr>
            <w:r w:rsidRPr="00BF44DE">
              <w:rPr>
                <w:rFonts w:ascii="Calibri" w:eastAsia="Times New Roman" w:hAnsi="Calibri" w:cs="Times New Roman"/>
                <w:color w:val="000000"/>
                <w:sz w:val="18"/>
                <w:szCs w:val="18"/>
                <w:lang w:val="nl-BE" w:eastAsia="nl-BE"/>
              </w:rPr>
              <w:t>0%</w:t>
            </w:r>
          </w:p>
        </w:tc>
      </w:tr>
    </w:tbl>
    <w:p w:rsidR="00BF44DE" w:rsidRDefault="00BF44DE" w:rsidP="00BF44DE"/>
    <w:p w:rsidR="00BF44DE" w:rsidRDefault="00BF44DE" w:rsidP="00BF44DE"/>
    <w:p w:rsidR="00BF44DE" w:rsidRDefault="00BF44DE" w:rsidP="00BF44DE"/>
    <w:p w:rsidR="00BF44DE" w:rsidRDefault="00BF44DE" w:rsidP="00BF44DE"/>
    <w:p w:rsidR="00BF44DE" w:rsidRDefault="00BF44DE" w:rsidP="00BF44DE"/>
    <w:p w:rsidR="00BF44DE" w:rsidRDefault="00BF44DE" w:rsidP="00BF44DE"/>
    <w:p w:rsidR="00BF44DE" w:rsidRDefault="00BF44DE" w:rsidP="00BF44DE"/>
    <w:tbl>
      <w:tblPr>
        <w:tblStyle w:val="Grilledutableau"/>
        <w:tblW w:w="0" w:type="auto"/>
        <w:tblLook w:val="04A0" w:firstRow="1" w:lastRow="0" w:firstColumn="1" w:lastColumn="0" w:noHBand="0" w:noVBand="1"/>
      </w:tblPr>
      <w:tblGrid>
        <w:gridCol w:w="2241"/>
        <w:gridCol w:w="8215"/>
      </w:tblGrid>
      <w:tr w:rsidR="00BF44DE" w:rsidRPr="007C23CA" w:rsidTr="005D25E7">
        <w:trPr>
          <w:trHeight w:val="126"/>
        </w:trPr>
        <w:tc>
          <w:tcPr>
            <w:tcW w:w="2263" w:type="dxa"/>
            <w:shd w:val="clear" w:color="auto" w:fill="D0CECE" w:themeFill="background2" w:themeFillShade="E6"/>
            <w:hideMark/>
          </w:tcPr>
          <w:p w:rsidR="00BF44DE" w:rsidRPr="007C23CA" w:rsidRDefault="00BF44DE" w:rsidP="005D25E7">
            <w:pPr>
              <w:rPr>
                <w:b/>
                <w:bCs/>
                <w:sz w:val="20"/>
                <w:szCs w:val="20"/>
              </w:rPr>
            </w:pPr>
            <w:r w:rsidRPr="007C23CA">
              <w:rPr>
                <w:b/>
                <w:bCs/>
                <w:sz w:val="20"/>
                <w:szCs w:val="20"/>
              </w:rPr>
              <w:t>Class of Instrument</w:t>
            </w:r>
          </w:p>
        </w:tc>
        <w:tc>
          <w:tcPr>
            <w:tcW w:w="8356" w:type="dxa"/>
            <w:hideMark/>
          </w:tcPr>
          <w:p w:rsidR="00BF44DE" w:rsidRPr="007C23CA" w:rsidRDefault="00BF44DE" w:rsidP="005D25E7">
            <w:pPr>
              <w:rPr>
                <w:b/>
                <w:bCs/>
                <w:sz w:val="20"/>
                <w:szCs w:val="20"/>
              </w:rPr>
            </w:pPr>
            <w:r w:rsidRPr="00B92EC9">
              <w:rPr>
                <w:b/>
                <w:bCs/>
                <w:sz w:val="20"/>
                <w:szCs w:val="20"/>
              </w:rPr>
              <w:t>Exchange traded products (Exchange traded funds, exchange traded notes and exchange traded commodities)</w:t>
            </w:r>
          </w:p>
        </w:tc>
      </w:tr>
    </w:tbl>
    <w:p w:rsidR="00BF44DE" w:rsidRDefault="00BF44DE" w:rsidP="00BF44DE"/>
    <w:tbl>
      <w:tblPr>
        <w:tblW w:w="9983" w:type="dxa"/>
        <w:tblCellMar>
          <w:left w:w="70" w:type="dxa"/>
          <w:right w:w="70" w:type="dxa"/>
        </w:tblCellMar>
        <w:tblLook w:val="04A0" w:firstRow="1" w:lastRow="0" w:firstColumn="1" w:lastColumn="0" w:noHBand="0" w:noVBand="1"/>
      </w:tblPr>
      <w:tblGrid>
        <w:gridCol w:w="2519"/>
        <w:gridCol w:w="1585"/>
        <w:gridCol w:w="1585"/>
        <w:gridCol w:w="1585"/>
        <w:gridCol w:w="1585"/>
        <w:gridCol w:w="1587"/>
      </w:tblGrid>
      <w:tr w:rsidR="00BF44DE" w:rsidRPr="00BF44DE" w:rsidTr="00BF44DE">
        <w:trPr>
          <w:trHeight w:val="301"/>
        </w:trPr>
        <w:tc>
          <w:tcPr>
            <w:tcW w:w="9983" w:type="dxa"/>
            <w:gridSpan w:val="6"/>
            <w:tcBorders>
              <w:top w:val="single" w:sz="8" w:space="0" w:color="auto"/>
              <w:left w:val="single" w:sz="8" w:space="0" w:color="auto"/>
              <w:bottom w:val="single" w:sz="8" w:space="0" w:color="auto"/>
              <w:right w:val="single" w:sz="8" w:space="0" w:color="000000"/>
            </w:tcBorders>
            <w:shd w:val="clear" w:color="auto" w:fill="auto"/>
            <w:noWrap/>
            <w:hideMark/>
          </w:tcPr>
          <w:p w:rsidR="00BF44DE" w:rsidRPr="00BF44DE" w:rsidRDefault="00BF44DE" w:rsidP="00BF44DE">
            <w:pPr>
              <w:spacing w:after="0" w:line="240" w:lineRule="auto"/>
              <w:jc w:val="center"/>
              <w:rPr>
                <w:rFonts w:ascii="Verdana" w:eastAsia="Times New Roman" w:hAnsi="Verdana" w:cs="Times New Roman"/>
                <w:b/>
                <w:bCs/>
                <w:color w:val="000000"/>
                <w:sz w:val="18"/>
                <w:szCs w:val="18"/>
                <w:lang w:val="nl-BE" w:eastAsia="nl-BE"/>
              </w:rPr>
            </w:pPr>
            <w:r w:rsidRPr="00BF44DE">
              <w:rPr>
                <w:rFonts w:ascii="Verdana" w:eastAsia="Times New Roman" w:hAnsi="Verdana" w:cs="Times New Roman"/>
                <w:b/>
                <w:bCs/>
                <w:color w:val="000000"/>
                <w:sz w:val="18"/>
                <w:szCs w:val="18"/>
                <w:lang w:val="nl-BE" w:eastAsia="nl-BE"/>
              </w:rPr>
              <w:t>TOP 5 COUNTERPARTIES</w:t>
            </w:r>
          </w:p>
        </w:tc>
      </w:tr>
      <w:tr w:rsidR="00BF44DE" w:rsidRPr="00BF44DE" w:rsidTr="00BF44DE">
        <w:trPr>
          <w:trHeight w:val="287"/>
        </w:trPr>
        <w:tc>
          <w:tcPr>
            <w:tcW w:w="1980" w:type="dxa"/>
            <w:tcBorders>
              <w:top w:val="nil"/>
              <w:left w:val="single" w:sz="8" w:space="0" w:color="auto"/>
              <w:bottom w:val="single" w:sz="4" w:space="0" w:color="auto"/>
              <w:right w:val="single" w:sz="4" w:space="0" w:color="auto"/>
            </w:tcBorders>
            <w:shd w:val="clear" w:color="000000" w:fill="6CACE4"/>
            <w:hideMark/>
          </w:tcPr>
          <w:p w:rsidR="00BF44DE" w:rsidRPr="00BF44DE" w:rsidRDefault="00BF44DE" w:rsidP="00BF44DE">
            <w:pPr>
              <w:spacing w:after="0" w:line="240" w:lineRule="auto"/>
              <w:rPr>
                <w:rFonts w:ascii="Verdana" w:eastAsia="Times New Roman" w:hAnsi="Verdana" w:cs="Times New Roman"/>
                <w:b/>
                <w:bCs/>
                <w:color w:val="000000"/>
                <w:sz w:val="18"/>
                <w:szCs w:val="18"/>
                <w:lang w:val="nl-BE" w:eastAsia="nl-BE"/>
              </w:rPr>
            </w:pPr>
            <w:r w:rsidRPr="00BF44DE">
              <w:rPr>
                <w:rFonts w:ascii="Verdana" w:eastAsia="Times New Roman" w:hAnsi="Verdana" w:cs="Times New Roman"/>
                <w:b/>
                <w:bCs/>
                <w:color w:val="000000"/>
                <w:sz w:val="18"/>
                <w:szCs w:val="18"/>
                <w:lang w:val="nl-BE" w:eastAsia="nl-BE"/>
              </w:rPr>
              <w:t>Client Type</w:t>
            </w:r>
          </w:p>
        </w:tc>
        <w:tc>
          <w:tcPr>
            <w:tcW w:w="8002" w:type="dxa"/>
            <w:gridSpan w:val="5"/>
            <w:tcBorders>
              <w:top w:val="single" w:sz="8" w:space="0" w:color="auto"/>
              <w:left w:val="nil"/>
              <w:bottom w:val="single" w:sz="4" w:space="0" w:color="auto"/>
              <w:right w:val="single" w:sz="8" w:space="0" w:color="000000"/>
            </w:tcBorders>
            <w:shd w:val="clear" w:color="auto" w:fill="auto"/>
            <w:noWrap/>
            <w:hideMark/>
          </w:tcPr>
          <w:p w:rsidR="00BF44DE" w:rsidRPr="00BF44DE" w:rsidRDefault="00BF44DE" w:rsidP="00BF44DE">
            <w:pPr>
              <w:spacing w:after="0" w:line="240" w:lineRule="auto"/>
              <w:jc w:val="center"/>
              <w:rPr>
                <w:rFonts w:ascii="Verdana" w:eastAsia="Times New Roman" w:hAnsi="Verdana" w:cs="Times New Roman"/>
                <w:b/>
                <w:bCs/>
                <w:color w:val="000000"/>
                <w:sz w:val="18"/>
                <w:szCs w:val="18"/>
                <w:lang w:val="nl-BE" w:eastAsia="nl-BE"/>
              </w:rPr>
            </w:pPr>
            <w:r w:rsidRPr="00BF44DE">
              <w:rPr>
                <w:rFonts w:ascii="Verdana" w:eastAsia="Times New Roman" w:hAnsi="Verdana" w:cs="Times New Roman"/>
                <w:b/>
                <w:bCs/>
                <w:color w:val="000000"/>
                <w:sz w:val="18"/>
                <w:szCs w:val="18"/>
                <w:lang w:val="nl-BE" w:eastAsia="nl-BE"/>
              </w:rPr>
              <w:t>Retail Clients</w:t>
            </w:r>
          </w:p>
        </w:tc>
      </w:tr>
      <w:tr w:rsidR="00BF44DE" w:rsidRPr="00BF44DE" w:rsidTr="00BF44DE">
        <w:trPr>
          <w:trHeight w:val="861"/>
        </w:trPr>
        <w:tc>
          <w:tcPr>
            <w:tcW w:w="1980" w:type="dxa"/>
            <w:tcBorders>
              <w:top w:val="nil"/>
              <w:left w:val="single" w:sz="8" w:space="0" w:color="auto"/>
              <w:bottom w:val="single" w:sz="4" w:space="0" w:color="auto"/>
              <w:right w:val="single" w:sz="4" w:space="0" w:color="auto"/>
            </w:tcBorders>
            <w:shd w:val="clear" w:color="000000" w:fill="6CACE4"/>
            <w:hideMark/>
          </w:tcPr>
          <w:p w:rsidR="00BF44DE" w:rsidRPr="00BF44DE" w:rsidRDefault="00BF44DE" w:rsidP="00BF44DE">
            <w:pPr>
              <w:spacing w:after="0" w:line="240" w:lineRule="auto"/>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Notification if &lt;1 average trade per business day in the previous year</w:t>
            </w:r>
          </w:p>
        </w:tc>
        <w:tc>
          <w:tcPr>
            <w:tcW w:w="8002" w:type="dxa"/>
            <w:gridSpan w:val="5"/>
            <w:tcBorders>
              <w:top w:val="single" w:sz="4" w:space="0" w:color="auto"/>
              <w:left w:val="nil"/>
              <w:bottom w:val="single" w:sz="4" w:space="0" w:color="auto"/>
              <w:right w:val="single" w:sz="8" w:space="0" w:color="000000"/>
            </w:tcBorders>
            <w:shd w:val="clear" w:color="auto" w:fill="auto"/>
            <w:noWrap/>
            <w:vAlign w:val="center"/>
            <w:hideMark/>
          </w:tcPr>
          <w:p w:rsidR="00BF44DE" w:rsidRPr="00BF44DE" w:rsidRDefault="00BF44DE" w:rsidP="00BF44DE">
            <w:pPr>
              <w:spacing w:after="0" w:line="240" w:lineRule="auto"/>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Y</w:t>
            </w:r>
          </w:p>
        </w:tc>
      </w:tr>
      <w:tr w:rsidR="00BF44DE" w:rsidRPr="00BF44DE" w:rsidTr="00BF44DE">
        <w:trPr>
          <w:trHeight w:val="861"/>
        </w:trPr>
        <w:tc>
          <w:tcPr>
            <w:tcW w:w="1980" w:type="dxa"/>
            <w:tcBorders>
              <w:top w:val="nil"/>
              <w:left w:val="single" w:sz="8" w:space="0" w:color="auto"/>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Top five execution venues</w:t>
            </w:r>
            <w:r w:rsidRPr="00BF44DE">
              <w:rPr>
                <w:rFonts w:ascii="Verdana" w:eastAsia="Times New Roman" w:hAnsi="Verdana" w:cs="Times New Roman"/>
                <w:b/>
                <w:bCs/>
                <w:color w:val="000000"/>
                <w:sz w:val="18"/>
                <w:szCs w:val="18"/>
                <w:lang w:eastAsia="nl-BE"/>
              </w:rPr>
              <w:t xml:space="preserve"> </w:t>
            </w:r>
            <w:r w:rsidRPr="00BF44DE">
              <w:rPr>
                <w:rFonts w:ascii="Verdana" w:eastAsia="Times New Roman" w:hAnsi="Verdana" w:cs="Times New Roman"/>
                <w:color w:val="000000"/>
                <w:sz w:val="18"/>
                <w:szCs w:val="18"/>
                <w:lang w:eastAsia="nl-BE"/>
              </w:rPr>
              <w:t>ranked in terms of trading volumes (descending order)</w:t>
            </w:r>
          </w:p>
        </w:tc>
        <w:tc>
          <w:tcPr>
            <w:tcW w:w="1600" w:type="dxa"/>
            <w:tcBorders>
              <w:top w:val="nil"/>
              <w:left w:val="nil"/>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Proportion of volume traded as a percentage of total in that class</w:t>
            </w:r>
          </w:p>
        </w:tc>
        <w:tc>
          <w:tcPr>
            <w:tcW w:w="1600" w:type="dxa"/>
            <w:tcBorders>
              <w:top w:val="nil"/>
              <w:left w:val="nil"/>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Proportion of orders executed as percentage of total in that class</w:t>
            </w:r>
          </w:p>
        </w:tc>
        <w:tc>
          <w:tcPr>
            <w:tcW w:w="1600" w:type="dxa"/>
            <w:tcBorders>
              <w:top w:val="nil"/>
              <w:left w:val="nil"/>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Percentage of passive orders</w:t>
            </w:r>
          </w:p>
        </w:tc>
        <w:tc>
          <w:tcPr>
            <w:tcW w:w="1600" w:type="dxa"/>
            <w:tcBorders>
              <w:top w:val="nil"/>
              <w:left w:val="nil"/>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Percentage of aggressive orders</w:t>
            </w:r>
          </w:p>
        </w:tc>
        <w:tc>
          <w:tcPr>
            <w:tcW w:w="1600" w:type="dxa"/>
            <w:tcBorders>
              <w:top w:val="nil"/>
              <w:left w:val="nil"/>
              <w:bottom w:val="single" w:sz="4" w:space="0" w:color="auto"/>
              <w:right w:val="single" w:sz="8" w:space="0" w:color="auto"/>
            </w:tcBorders>
            <w:shd w:val="clear" w:color="000000" w:fill="6CACE4"/>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Percentage of directed orders</w:t>
            </w:r>
          </w:p>
        </w:tc>
      </w:tr>
      <w:tr w:rsidR="00BF44DE" w:rsidRPr="00BF44DE" w:rsidTr="00BF44DE">
        <w:trPr>
          <w:trHeight w:val="646"/>
        </w:trPr>
        <w:tc>
          <w:tcPr>
            <w:tcW w:w="1980" w:type="dxa"/>
            <w:tcBorders>
              <w:top w:val="nil"/>
              <w:left w:val="single" w:sz="8" w:space="0" w:color="auto"/>
              <w:bottom w:val="single" w:sz="4" w:space="0" w:color="auto"/>
              <w:right w:val="single" w:sz="4" w:space="0" w:color="auto"/>
            </w:tcBorders>
            <w:shd w:val="clear" w:color="auto" w:fill="auto"/>
            <w:vAlign w:val="center"/>
            <w:hideMark/>
          </w:tcPr>
          <w:p w:rsidR="00BF44DE" w:rsidRPr="00BF44DE" w:rsidRDefault="00BF44DE" w:rsidP="00BF44DE">
            <w:pPr>
              <w:spacing w:after="0" w:line="240" w:lineRule="auto"/>
              <w:rPr>
                <w:rFonts w:ascii="Verdana" w:eastAsia="Times New Roman" w:hAnsi="Verdana" w:cs="Times New Roman"/>
                <w:color w:val="000000"/>
                <w:sz w:val="18"/>
                <w:szCs w:val="18"/>
                <w:lang w:eastAsia="nl-BE"/>
              </w:rPr>
            </w:pPr>
            <w:r w:rsidRPr="00BF44DE">
              <w:rPr>
                <w:rFonts w:ascii="Verdana" w:eastAsia="Times New Roman" w:hAnsi="Verdana" w:cs="Times New Roman"/>
                <w:color w:val="000000"/>
                <w:sz w:val="18"/>
                <w:szCs w:val="18"/>
                <w:lang w:eastAsia="nl-BE"/>
              </w:rPr>
              <w:t>CAPITALATWORK FOYER GROUP S.A.</w:t>
            </w:r>
            <w:r w:rsidRPr="00BF44DE">
              <w:rPr>
                <w:rFonts w:ascii="Verdana" w:eastAsia="Times New Roman" w:hAnsi="Verdana" w:cs="Times New Roman"/>
                <w:color w:val="000000"/>
                <w:sz w:val="18"/>
                <w:szCs w:val="18"/>
                <w:lang w:eastAsia="nl-BE"/>
              </w:rPr>
              <w:br/>
              <w:t>549300G1S24HHV2HX706</w:t>
            </w:r>
          </w:p>
        </w:tc>
        <w:tc>
          <w:tcPr>
            <w:tcW w:w="1600" w:type="dxa"/>
            <w:tcBorders>
              <w:top w:val="nil"/>
              <w:left w:val="nil"/>
              <w:bottom w:val="single" w:sz="4" w:space="0" w:color="auto"/>
              <w:right w:val="single" w:sz="4" w:space="0" w:color="auto"/>
            </w:tcBorders>
            <w:shd w:val="clear" w:color="auto" w:fill="auto"/>
            <w:noWrap/>
            <w:vAlign w:val="center"/>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100.00%</w:t>
            </w:r>
          </w:p>
        </w:tc>
        <w:tc>
          <w:tcPr>
            <w:tcW w:w="1600" w:type="dxa"/>
            <w:tcBorders>
              <w:top w:val="nil"/>
              <w:left w:val="nil"/>
              <w:bottom w:val="single" w:sz="4" w:space="0" w:color="auto"/>
              <w:right w:val="single" w:sz="4" w:space="0" w:color="auto"/>
            </w:tcBorders>
            <w:shd w:val="clear" w:color="auto" w:fill="auto"/>
            <w:noWrap/>
            <w:vAlign w:val="center"/>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100.00%</w:t>
            </w:r>
          </w:p>
        </w:tc>
        <w:tc>
          <w:tcPr>
            <w:tcW w:w="1600" w:type="dxa"/>
            <w:tcBorders>
              <w:top w:val="nil"/>
              <w:left w:val="nil"/>
              <w:bottom w:val="single" w:sz="4" w:space="0" w:color="auto"/>
              <w:right w:val="single" w:sz="4" w:space="0" w:color="auto"/>
            </w:tcBorders>
            <w:shd w:val="clear" w:color="auto" w:fill="auto"/>
            <w:noWrap/>
            <w:vAlign w:val="center"/>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N/C</w:t>
            </w:r>
          </w:p>
        </w:tc>
        <w:tc>
          <w:tcPr>
            <w:tcW w:w="1600" w:type="dxa"/>
            <w:tcBorders>
              <w:top w:val="nil"/>
              <w:left w:val="nil"/>
              <w:bottom w:val="single" w:sz="4" w:space="0" w:color="auto"/>
              <w:right w:val="single" w:sz="4" w:space="0" w:color="auto"/>
            </w:tcBorders>
            <w:shd w:val="clear" w:color="auto" w:fill="auto"/>
            <w:noWrap/>
            <w:vAlign w:val="center"/>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N/C</w:t>
            </w:r>
          </w:p>
        </w:tc>
        <w:tc>
          <w:tcPr>
            <w:tcW w:w="1600" w:type="dxa"/>
            <w:tcBorders>
              <w:top w:val="nil"/>
              <w:left w:val="nil"/>
              <w:bottom w:val="single" w:sz="4" w:space="0" w:color="auto"/>
              <w:right w:val="single" w:sz="8" w:space="0" w:color="auto"/>
            </w:tcBorders>
            <w:shd w:val="clear" w:color="auto" w:fill="auto"/>
            <w:noWrap/>
            <w:vAlign w:val="center"/>
            <w:hideMark/>
          </w:tcPr>
          <w:p w:rsidR="00BF44DE" w:rsidRPr="00BF44DE" w:rsidRDefault="00BF44DE" w:rsidP="00BF44DE">
            <w:pPr>
              <w:spacing w:after="0" w:line="240" w:lineRule="auto"/>
              <w:jc w:val="center"/>
              <w:rPr>
                <w:rFonts w:ascii="Verdana" w:eastAsia="Times New Roman" w:hAnsi="Verdana" w:cs="Times New Roman"/>
                <w:color w:val="000000"/>
                <w:sz w:val="18"/>
                <w:szCs w:val="18"/>
                <w:lang w:val="nl-BE" w:eastAsia="nl-BE"/>
              </w:rPr>
            </w:pPr>
            <w:r w:rsidRPr="00BF44DE">
              <w:rPr>
                <w:rFonts w:ascii="Verdana" w:eastAsia="Times New Roman" w:hAnsi="Verdana" w:cs="Times New Roman"/>
                <w:color w:val="000000"/>
                <w:sz w:val="18"/>
                <w:szCs w:val="18"/>
                <w:lang w:val="nl-BE" w:eastAsia="nl-BE"/>
              </w:rPr>
              <w:t>0%</w:t>
            </w:r>
          </w:p>
        </w:tc>
      </w:tr>
    </w:tbl>
    <w:p w:rsidR="00BF44DE" w:rsidRDefault="00BF44DE" w:rsidP="00BF44DE"/>
    <w:p w:rsidR="00BF44DE" w:rsidRDefault="00BF44DE" w:rsidP="00BF44DE"/>
    <w:p w:rsidR="00BF44DE" w:rsidRDefault="00BF44DE" w:rsidP="00BF44DE"/>
    <w:tbl>
      <w:tblPr>
        <w:tblStyle w:val="Grilledutableau"/>
        <w:tblW w:w="0" w:type="auto"/>
        <w:tblLook w:val="04A0" w:firstRow="1" w:lastRow="0" w:firstColumn="1" w:lastColumn="0" w:noHBand="0" w:noVBand="1"/>
      </w:tblPr>
      <w:tblGrid>
        <w:gridCol w:w="2241"/>
        <w:gridCol w:w="8215"/>
      </w:tblGrid>
      <w:tr w:rsidR="00BF44DE" w:rsidRPr="007C23CA" w:rsidTr="005D25E7">
        <w:trPr>
          <w:trHeight w:val="126"/>
        </w:trPr>
        <w:tc>
          <w:tcPr>
            <w:tcW w:w="2263" w:type="dxa"/>
            <w:shd w:val="clear" w:color="auto" w:fill="D0CECE" w:themeFill="background2" w:themeFillShade="E6"/>
            <w:hideMark/>
          </w:tcPr>
          <w:p w:rsidR="00BF44DE" w:rsidRPr="007C23CA" w:rsidRDefault="00BF44DE" w:rsidP="005D25E7">
            <w:pPr>
              <w:rPr>
                <w:b/>
                <w:bCs/>
                <w:sz w:val="20"/>
                <w:szCs w:val="20"/>
              </w:rPr>
            </w:pPr>
            <w:r w:rsidRPr="007C23CA">
              <w:rPr>
                <w:b/>
                <w:bCs/>
                <w:sz w:val="20"/>
                <w:szCs w:val="20"/>
              </w:rPr>
              <w:t>Class of Instrument</w:t>
            </w:r>
          </w:p>
        </w:tc>
        <w:tc>
          <w:tcPr>
            <w:tcW w:w="8356" w:type="dxa"/>
            <w:hideMark/>
          </w:tcPr>
          <w:p w:rsidR="00BF44DE" w:rsidRPr="007C23CA" w:rsidRDefault="00BF44DE" w:rsidP="005D25E7">
            <w:pPr>
              <w:rPr>
                <w:b/>
                <w:bCs/>
                <w:sz w:val="20"/>
                <w:szCs w:val="20"/>
              </w:rPr>
            </w:pPr>
            <w:r>
              <w:rPr>
                <w:b/>
                <w:bCs/>
                <w:sz w:val="20"/>
                <w:szCs w:val="20"/>
              </w:rPr>
              <w:t>Other instruments</w:t>
            </w:r>
          </w:p>
        </w:tc>
      </w:tr>
    </w:tbl>
    <w:p w:rsidR="00BF44DE" w:rsidRDefault="00BF44DE" w:rsidP="00BF44DE"/>
    <w:tbl>
      <w:tblPr>
        <w:tblW w:w="10514" w:type="dxa"/>
        <w:tblCellMar>
          <w:left w:w="70" w:type="dxa"/>
          <w:right w:w="70" w:type="dxa"/>
        </w:tblCellMar>
        <w:tblLook w:val="04A0" w:firstRow="1" w:lastRow="0" w:firstColumn="1" w:lastColumn="0" w:noHBand="0" w:noVBand="1"/>
      </w:tblPr>
      <w:tblGrid>
        <w:gridCol w:w="2085"/>
        <w:gridCol w:w="1685"/>
        <w:gridCol w:w="1685"/>
        <w:gridCol w:w="1685"/>
        <w:gridCol w:w="1685"/>
        <w:gridCol w:w="1689"/>
      </w:tblGrid>
      <w:tr w:rsidR="00BF44DE" w:rsidRPr="00BF44DE" w:rsidTr="00BF44DE">
        <w:trPr>
          <w:trHeight w:val="310"/>
        </w:trPr>
        <w:tc>
          <w:tcPr>
            <w:tcW w:w="10514" w:type="dxa"/>
            <w:gridSpan w:val="6"/>
            <w:tcBorders>
              <w:top w:val="single" w:sz="8" w:space="0" w:color="auto"/>
              <w:left w:val="single" w:sz="8" w:space="0" w:color="auto"/>
              <w:bottom w:val="single" w:sz="8" w:space="0" w:color="auto"/>
              <w:right w:val="single" w:sz="8" w:space="0" w:color="000000"/>
            </w:tcBorders>
            <w:shd w:val="clear" w:color="auto" w:fill="auto"/>
            <w:noWrap/>
            <w:hideMark/>
          </w:tcPr>
          <w:p w:rsidR="00BF44DE" w:rsidRPr="00BF44DE" w:rsidRDefault="00BF44DE" w:rsidP="00BF44DE">
            <w:pPr>
              <w:spacing w:after="0" w:line="240" w:lineRule="auto"/>
              <w:jc w:val="center"/>
              <w:rPr>
                <w:rFonts w:ascii="Calibri" w:eastAsia="Times New Roman" w:hAnsi="Calibri" w:cs="Times New Roman"/>
                <w:b/>
                <w:bCs/>
                <w:color w:val="000000"/>
                <w:sz w:val="18"/>
                <w:szCs w:val="18"/>
                <w:lang w:val="nl-BE" w:eastAsia="nl-BE"/>
              </w:rPr>
            </w:pPr>
            <w:r w:rsidRPr="00BF44DE">
              <w:rPr>
                <w:rFonts w:ascii="Calibri" w:eastAsia="Times New Roman" w:hAnsi="Calibri" w:cs="Times New Roman"/>
                <w:b/>
                <w:bCs/>
                <w:color w:val="000000"/>
                <w:sz w:val="18"/>
                <w:szCs w:val="18"/>
                <w:lang w:val="nl-BE" w:eastAsia="nl-BE"/>
              </w:rPr>
              <w:t>TOP 5 COUNTERPARTIES</w:t>
            </w:r>
          </w:p>
        </w:tc>
      </w:tr>
      <w:tr w:rsidR="00BF44DE" w:rsidRPr="00BF44DE" w:rsidTr="00BF44DE">
        <w:trPr>
          <w:trHeight w:val="295"/>
        </w:trPr>
        <w:tc>
          <w:tcPr>
            <w:tcW w:w="2085" w:type="dxa"/>
            <w:tcBorders>
              <w:top w:val="nil"/>
              <w:left w:val="single" w:sz="8" w:space="0" w:color="auto"/>
              <w:bottom w:val="single" w:sz="4" w:space="0" w:color="auto"/>
              <w:right w:val="single" w:sz="4" w:space="0" w:color="auto"/>
            </w:tcBorders>
            <w:shd w:val="clear" w:color="000000" w:fill="6CACE4"/>
            <w:hideMark/>
          </w:tcPr>
          <w:p w:rsidR="00BF44DE" w:rsidRPr="00BF44DE" w:rsidRDefault="00BF44DE" w:rsidP="00BF44DE">
            <w:pPr>
              <w:spacing w:after="0" w:line="240" w:lineRule="auto"/>
              <w:rPr>
                <w:rFonts w:ascii="Calibri" w:eastAsia="Times New Roman" w:hAnsi="Calibri" w:cs="Times New Roman"/>
                <w:b/>
                <w:bCs/>
                <w:color w:val="000000"/>
                <w:sz w:val="18"/>
                <w:szCs w:val="18"/>
                <w:lang w:val="nl-BE" w:eastAsia="nl-BE"/>
              </w:rPr>
            </w:pPr>
            <w:r w:rsidRPr="00BF44DE">
              <w:rPr>
                <w:rFonts w:ascii="Calibri" w:eastAsia="Times New Roman" w:hAnsi="Calibri" w:cs="Times New Roman"/>
                <w:b/>
                <w:bCs/>
                <w:color w:val="000000"/>
                <w:sz w:val="18"/>
                <w:szCs w:val="18"/>
                <w:lang w:val="nl-BE" w:eastAsia="nl-BE"/>
              </w:rPr>
              <w:t>Client Type</w:t>
            </w:r>
          </w:p>
        </w:tc>
        <w:tc>
          <w:tcPr>
            <w:tcW w:w="8428" w:type="dxa"/>
            <w:gridSpan w:val="5"/>
            <w:tcBorders>
              <w:top w:val="single" w:sz="8" w:space="0" w:color="auto"/>
              <w:left w:val="nil"/>
              <w:bottom w:val="single" w:sz="4" w:space="0" w:color="auto"/>
              <w:right w:val="single" w:sz="8" w:space="0" w:color="000000"/>
            </w:tcBorders>
            <w:shd w:val="clear" w:color="auto" w:fill="auto"/>
            <w:noWrap/>
            <w:hideMark/>
          </w:tcPr>
          <w:p w:rsidR="00BF44DE" w:rsidRPr="00BF44DE" w:rsidRDefault="00BF44DE" w:rsidP="00BF44DE">
            <w:pPr>
              <w:spacing w:after="0" w:line="240" w:lineRule="auto"/>
              <w:jc w:val="center"/>
              <w:rPr>
                <w:rFonts w:ascii="Calibri" w:eastAsia="Times New Roman" w:hAnsi="Calibri" w:cs="Times New Roman"/>
                <w:b/>
                <w:bCs/>
                <w:color w:val="000000"/>
                <w:sz w:val="18"/>
                <w:szCs w:val="18"/>
                <w:lang w:val="nl-BE" w:eastAsia="nl-BE"/>
              </w:rPr>
            </w:pPr>
            <w:r w:rsidRPr="00BF44DE">
              <w:rPr>
                <w:rFonts w:ascii="Calibri" w:eastAsia="Times New Roman" w:hAnsi="Calibri" w:cs="Times New Roman"/>
                <w:b/>
                <w:bCs/>
                <w:color w:val="000000"/>
                <w:sz w:val="18"/>
                <w:szCs w:val="18"/>
                <w:lang w:val="nl-BE" w:eastAsia="nl-BE"/>
              </w:rPr>
              <w:t>Retail Clients</w:t>
            </w:r>
          </w:p>
        </w:tc>
      </w:tr>
      <w:tr w:rsidR="00BF44DE" w:rsidRPr="00BF44DE" w:rsidTr="00BF44DE">
        <w:trPr>
          <w:trHeight w:val="886"/>
        </w:trPr>
        <w:tc>
          <w:tcPr>
            <w:tcW w:w="2085" w:type="dxa"/>
            <w:tcBorders>
              <w:top w:val="nil"/>
              <w:left w:val="single" w:sz="8" w:space="0" w:color="auto"/>
              <w:bottom w:val="single" w:sz="4" w:space="0" w:color="auto"/>
              <w:right w:val="single" w:sz="4" w:space="0" w:color="auto"/>
            </w:tcBorders>
            <w:shd w:val="clear" w:color="000000" w:fill="6CACE4"/>
            <w:hideMark/>
          </w:tcPr>
          <w:p w:rsidR="00BF44DE" w:rsidRPr="00BF44DE" w:rsidRDefault="00BF44DE" w:rsidP="00BF44DE">
            <w:pPr>
              <w:spacing w:after="0" w:line="240" w:lineRule="auto"/>
              <w:rPr>
                <w:rFonts w:ascii="Calibri" w:eastAsia="Times New Roman" w:hAnsi="Calibri" w:cs="Times New Roman"/>
                <w:color w:val="000000"/>
                <w:sz w:val="18"/>
                <w:szCs w:val="18"/>
                <w:lang w:eastAsia="nl-BE"/>
              </w:rPr>
            </w:pPr>
            <w:r w:rsidRPr="00BF44DE">
              <w:rPr>
                <w:rFonts w:ascii="Calibri" w:eastAsia="Times New Roman" w:hAnsi="Calibri" w:cs="Times New Roman"/>
                <w:color w:val="000000"/>
                <w:sz w:val="18"/>
                <w:szCs w:val="18"/>
                <w:lang w:eastAsia="nl-BE"/>
              </w:rPr>
              <w:t>Notification if &lt;1 average trade per business day in the previous year</w:t>
            </w:r>
          </w:p>
        </w:tc>
        <w:tc>
          <w:tcPr>
            <w:tcW w:w="8428" w:type="dxa"/>
            <w:gridSpan w:val="5"/>
            <w:tcBorders>
              <w:top w:val="single" w:sz="4" w:space="0" w:color="auto"/>
              <w:left w:val="nil"/>
              <w:bottom w:val="single" w:sz="4" w:space="0" w:color="auto"/>
              <w:right w:val="single" w:sz="8" w:space="0" w:color="000000"/>
            </w:tcBorders>
            <w:shd w:val="clear" w:color="auto" w:fill="auto"/>
            <w:noWrap/>
            <w:vAlign w:val="center"/>
            <w:hideMark/>
          </w:tcPr>
          <w:p w:rsidR="00BF44DE" w:rsidRPr="00BF44DE" w:rsidRDefault="00BF44DE" w:rsidP="00BF44DE">
            <w:pPr>
              <w:spacing w:after="0" w:line="240" w:lineRule="auto"/>
              <w:rPr>
                <w:rFonts w:ascii="Calibri" w:eastAsia="Times New Roman" w:hAnsi="Calibri" w:cs="Times New Roman"/>
                <w:color w:val="000000"/>
                <w:sz w:val="18"/>
                <w:szCs w:val="18"/>
                <w:lang w:val="nl-BE" w:eastAsia="nl-BE"/>
              </w:rPr>
            </w:pPr>
            <w:r w:rsidRPr="00BF44DE">
              <w:rPr>
                <w:rFonts w:ascii="Calibri" w:eastAsia="Times New Roman" w:hAnsi="Calibri" w:cs="Times New Roman"/>
                <w:color w:val="000000"/>
                <w:sz w:val="18"/>
                <w:szCs w:val="18"/>
                <w:lang w:val="nl-BE" w:eastAsia="nl-BE"/>
              </w:rPr>
              <w:t>N</w:t>
            </w:r>
          </w:p>
        </w:tc>
      </w:tr>
      <w:tr w:rsidR="00BF44DE" w:rsidRPr="00BF44DE" w:rsidTr="00BF44DE">
        <w:trPr>
          <w:trHeight w:val="886"/>
        </w:trPr>
        <w:tc>
          <w:tcPr>
            <w:tcW w:w="2085" w:type="dxa"/>
            <w:tcBorders>
              <w:top w:val="nil"/>
              <w:left w:val="single" w:sz="8" w:space="0" w:color="auto"/>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Calibri" w:eastAsia="Times New Roman" w:hAnsi="Calibri" w:cs="Times New Roman"/>
                <w:color w:val="000000"/>
                <w:sz w:val="18"/>
                <w:szCs w:val="18"/>
                <w:lang w:eastAsia="nl-BE"/>
              </w:rPr>
            </w:pPr>
            <w:r w:rsidRPr="00BF44DE">
              <w:rPr>
                <w:rFonts w:ascii="Calibri" w:eastAsia="Times New Roman" w:hAnsi="Calibri" w:cs="Times New Roman"/>
                <w:color w:val="000000"/>
                <w:sz w:val="18"/>
                <w:szCs w:val="18"/>
                <w:lang w:eastAsia="nl-BE"/>
              </w:rPr>
              <w:t>Top five execution venues</w:t>
            </w:r>
            <w:r w:rsidRPr="00BF44DE">
              <w:rPr>
                <w:rFonts w:ascii="Calibri" w:eastAsia="Times New Roman" w:hAnsi="Calibri" w:cs="Times New Roman"/>
                <w:b/>
                <w:bCs/>
                <w:color w:val="000000"/>
                <w:sz w:val="18"/>
                <w:szCs w:val="18"/>
                <w:lang w:eastAsia="nl-BE"/>
              </w:rPr>
              <w:t xml:space="preserve"> </w:t>
            </w:r>
            <w:r w:rsidRPr="00BF44DE">
              <w:rPr>
                <w:rFonts w:ascii="Calibri" w:eastAsia="Times New Roman" w:hAnsi="Calibri" w:cs="Times New Roman"/>
                <w:color w:val="000000"/>
                <w:sz w:val="18"/>
                <w:szCs w:val="18"/>
                <w:lang w:eastAsia="nl-BE"/>
              </w:rPr>
              <w:t>ranked in terms of trading volumes (descending order)</w:t>
            </w:r>
          </w:p>
        </w:tc>
        <w:tc>
          <w:tcPr>
            <w:tcW w:w="1685" w:type="dxa"/>
            <w:tcBorders>
              <w:top w:val="nil"/>
              <w:left w:val="nil"/>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Calibri" w:eastAsia="Times New Roman" w:hAnsi="Calibri" w:cs="Times New Roman"/>
                <w:color w:val="000000"/>
                <w:sz w:val="18"/>
                <w:szCs w:val="18"/>
                <w:lang w:eastAsia="nl-BE"/>
              </w:rPr>
            </w:pPr>
            <w:r w:rsidRPr="00BF44DE">
              <w:rPr>
                <w:rFonts w:ascii="Calibri" w:eastAsia="Times New Roman" w:hAnsi="Calibri" w:cs="Times New Roman"/>
                <w:color w:val="000000"/>
                <w:sz w:val="18"/>
                <w:szCs w:val="18"/>
                <w:lang w:eastAsia="nl-BE"/>
              </w:rPr>
              <w:t>Proportion of volume traded as a percentage of total in that class</w:t>
            </w:r>
          </w:p>
        </w:tc>
        <w:tc>
          <w:tcPr>
            <w:tcW w:w="1685" w:type="dxa"/>
            <w:tcBorders>
              <w:top w:val="nil"/>
              <w:left w:val="nil"/>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Calibri" w:eastAsia="Times New Roman" w:hAnsi="Calibri" w:cs="Times New Roman"/>
                <w:color w:val="000000"/>
                <w:sz w:val="18"/>
                <w:szCs w:val="18"/>
                <w:lang w:eastAsia="nl-BE"/>
              </w:rPr>
            </w:pPr>
            <w:r w:rsidRPr="00BF44DE">
              <w:rPr>
                <w:rFonts w:ascii="Calibri" w:eastAsia="Times New Roman" w:hAnsi="Calibri" w:cs="Times New Roman"/>
                <w:color w:val="000000"/>
                <w:sz w:val="18"/>
                <w:szCs w:val="18"/>
                <w:lang w:eastAsia="nl-BE"/>
              </w:rPr>
              <w:t>Proportion of orders executed as percentage of total in that class</w:t>
            </w:r>
          </w:p>
        </w:tc>
        <w:tc>
          <w:tcPr>
            <w:tcW w:w="1685" w:type="dxa"/>
            <w:tcBorders>
              <w:top w:val="nil"/>
              <w:left w:val="nil"/>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Calibri" w:eastAsia="Times New Roman" w:hAnsi="Calibri" w:cs="Times New Roman"/>
                <w:color w:val="000000"/>
                <w:sz w:val="18"/>
                <w:szCs w:val="18"/>
                <w:lang w:val="nl-BE" w:eastAsia="nl-BE"/>
              </w:rPr>
            </w:pPr>
            <w:r w:rsidRPr="00BF44DE">
              <w:rPr>
                <w:rFonts w:ascii="Calibri" w:eastAsia="Times New Roman" w:hAnsi="Calibri" w:cs="Times New Roman"/>
                <w:color w:val="000000"/>
                <w:sz w:val="18"/>
                <w:szCs w:val="18"/>
                <w:lang w:val="nl-BE" w:eastAsia="nl-BE"/>
              </w:rPr>
              <w:t>Percentage of passive orders</w:t>
            </w:r>
          </w:p>
        </w:tc>
        <w:tc>
          <w:tcPr>
            <w:tcW w:w="1685" w:type="dxa"/>
            <w:tcBorders>
              <w:top w:val="nil"/>
              <w:left w:val="nil"/>
              <w:bottom w:val="single" w:sz="4" w:space="0" w:color="auto"/>
              <w:right w:val="single" w:sz="4" w:space="0" w:color="auto"/>
            </w:tcBorders>
            <w:shd w:val="clear" w:color="000000" w:fill="6CACE4"/>
            <w:hideMark/>
          </w:tcPr>
          <w:p w:rsidR="00BF44DE" w:rsidRPr="00BF44DE" w:rsidRDefault="00BF44DE" w:rsidP="00BF44DE">
            <w:pPr>
              <w:spacing w:after="0" w:line="240" w:lineRule="auto"/>
              <w:jc w:val="center"/>
              <w:rPr>
                <w:rFonts w:ascii="Calibri" w:eastAsia="Times New Roman" w:hAnsi="Calibri" w:cs="Times New Roman"/>
                <w:color w:val="000000"/>
                <w:sz w:val="18"/>
                <w:szCs w:val="18"/>
                <w:lang w:val="nl-BE" w:eastAsia="nl-BE"/>
              </w:rPr>
            </w:pPr>
            <w:r w:rsidRPr="00BF44DE">
              <w:rPr>
                <w:rFonts w:ascii="Calibri" w:eastAsia="Times New Roman" w:hAnsi="Calibri" w:cs="Times New Roman"/>
                <w:color w:val="000000"/>
                <w:sz w:val="18"/>
                <w:szCs w:val="18"/>
                <w:lang w:val="nl-BE" w:eastAsia="nl-BE"/>
              </w:rPr>
              <w:t>Percentage of aggressive orders</w:t>
            </w:r>
          </w:p>
        </w:tc>
        <w:tc>
          <w:tcPr>
            <w:tcW w:w="1685" w:type="dxa"/>
            <w:tcBorders>
              <w:top w:val="nil"/>
              <w:left w:val="nil"/>
              <w:bottom w:val="single" w:sz="4" w:space="0" w:color="auto"/>
              <w:right w:val="single" w:sz="8" w:space="0" w:color="auto"/>
            </w:tcBorders>
            <w:shd w:val="clear" w:color="000000" w:fill="6CACE4"/>
            <w:hideMark/>
          </w:tcPr>
          <w:p w:rsidR="00BF44DE" w:rsidRPr="00BF44DE" w:rsidRDefault="00BF44DE" w:rsidP="00BF44DE">
            <w:pPr>
              <w:spacing w:after="0" w:line="240" w:lineRule="auto"/>
              <w:jc w:val="center"/>
              <w:rPr>
                <w:rFonts w:ascii="Calibri" w:eastAsia="Times New Roman" w:hAnsi="Calibri" w:cs="Times New Roman"/>
                <w:color w:val="000000"/>
                <w:sz w:val="18"/>
                <w:szCs w:val="18"/>
                <w:lang w:val="nl-BE" w:eastAsia="nl-BE"/>
              </w:rPr>
            </w:pPr>
            <w:r w:rsidRPr="00BF44DE">
              <w:rPr>
                <w:rFonts w:ascii="Calibri" w:eastAsia="Times New Roman" w:hAnsi="Calibri" w:cs="Times New Roman"/>
                <w:color w:val="000000"/>
                <w:sz w:val="18"/>
                <w:szCs w:val="18"/>
                <w:lang w:val="nl-BE" w:eastAsia="nl-BE"/>
              </w:rPr>
              <w:t>Percentage of directed orders</w:t>
            </w:r>
          </w:p>
        </w:tc>
      </w:tr>
      <w:tr w:rsidR="00BF44DE" w:rsidRPr="00BF44DE" w:rsidTr="00BF44DE">
        <w:trPr>
          <w:trHeight w:val="472"/>
        </w:trPr>
        <w:tc>
          <w:tcPr>
            <w:tcW w:w="2085" w:type="dxa"/>
            <w:tcBorders>
              <w:top w:val="nil"/>
              <w:left w:val="single" w:sz="8" w:space="0" w:color="auto"/>
              <w:bottom w:val="single" w:sz="4" w:space="0" w:color="auto"/>
              <w:right w:val="single" w:sz="4" w:space="0" w:color="auto"/>
            </w:tcBorders>
            <w:shd w:val="clear" w:color="auto" w:fill="auto"/>
            <w:vAlign w:val="center"/>
            <w:hideMark/>
          </w:tcPr>
          <w:p w:rsidR="00BF44DE" w:rsidRPr="00BF44DE" w:rsidRDefault="00BF44DE" w:rsidP="00BF44DE">
            <w:pPr>
              <w:spacing w:after="0" w:line="240" w:lineRule="auto"/>
              <w:rPr>
                <w:rFonts w:ascii="Calibri" w:eastAsia="Times New Roman" w:hAnsi="Calibri" w:cs="Times New Roman"/>
                <w:color w:val="000000"/>
                <w:sz w:val="18"/>
                <w:szCs w:val="18"/>
                <w:lang w:eastAsia="nl-BE"/>
              </w:rPr>
            </w:pPr>
            <w:r w:rsidRPr="00BF44DE">
              <w:rPr>
                <w:rFonts w:ascii="Calibri" w:eastAsia="Times New Roman" w:hAnsi="Calibri" w:cs="Times New Roman"/>
                <w:color w:val="000000"/>
                <w:sz w:val="18"/>
                <w:szCs w:val="18"/>
                <w:lang w:eastAsia="nl-BE"/>
              </w:rPr>
              <w:t>CAPITALATWORK FOYER GROUP S.A.</w:t>
            </w:r>
            <w:r w:rsidRPr="00BF44DE">
              <w:rPr>
                <w:rFonts w:ascii="Calibri" w:eastAsia="Times New Roman" w:hAnsi="Calibri" w:cs="Times New Roman"/>
                <w:color w:val="000000"/>
                <w:sz w:val="18"/>
                <w:szCs w:val="18"/>
                <w:lang w:eastAsia="nl-BE"/>
              </w:rPr>
              <w:br/>
              <w:t>549300G1S24HHV2HX706</w:t>
            </w:r>
          </w:p>
        </w:tc>
        <w:tc>
          <w:tcPr>
            <w:tcW w:w="1685" w:type="dxa"/>
            <w:tcBorders>
              <w:top w:val="nil"/>
              <w:left w:val="nil"/>
              <w:bottom w:val="single" w:sz="4" w:space="0" w:color="auto"/>
              <w:right w:val="single" w:sz="4" w:space="0" w:color="auto"/>
            </w:tcBorders>
            <w:shd w:val="clear" w:color="auto" w:fill="auto"/>
            <w:noWrap/>
            <w:vAlign w:val="center"/>
            <w:hideMark/>
          </w:tcPr>
          <w:p w:rsidR="00BF44DE" w:rsidRPr="00BF44DE" w:rsidRDefault="00BF44DE" w:rsidP="00BF44DE">
            <w:pPr>
              <w:spacing w:after="0" w:line="240" w:lineRule="auto"/>
              <w:jc w:val="center"/>
              <w:rPr>
                <w:rFonts w:ascii="Calibri" w:eastAsia="Times New Roman" w:hAnsi="Calibri" w:cs="Times New Roman"/>
                <w:color w:val="000000"/>
                <w:sz w:val="18"/>
                <w:szCs w:val="18"/>
                <w:lang w:val="nl-BE" w:eastAsia="nl-BE"/>
              </w:rPr>
            </w:pPr>
            <w:r w:rsidRPr="00BF44DE">
              <w:rPr>
                <w:rFonts w:ascii="Calibri" w:eastAsia="Times New Roman" w:hAnsi="Calibri" w:cs="Times New Roman"/>
                <w:color w:val="000000"/>
                <w:sz w:val="18"/>
                <w:szCs w:val="18"/>
                <w:lang w:val="nl-BE" w:eastAsia="nl-BE"/>
              </w:rPr>
              <w:t>100.00%</w:t>
            </w:r>
          </w:p>
        </w:tc>
        <w:tc>
          <w:tcPr>
            <w:tcW w:w="1685" w:type="dxa"/>
            <w:tcBorders>
              <w:top w:val="nil"/>
              <w:left w:val="nil"/>
              <w:bottom w:val="single" w:sz="4" w:space="0" w:color="auto"/>
              <w:right w:val="single" w:sz="4" w:space="0" w:color="auto"/>
            </w:tcBorders>
            <w:shd w:val="clear" w:color="auto" w:fill="auto"/>
            <w:noWrap/>
            <w:vAlign w:val="center"/>
            <w:hideMark/>
          </w:tcPr>
          <w:p w:rsidR="00BF44DE" w:rsidRPr="00BF44DE" w:rsidRDefault="00BF44DE" w:rsidP="00BF44DE">
            <w:pPr>
              <w:spacing w:after="0" w:line="240" w:lineRule="auto"/>
              <w:jc w:val="center"/>
              <w:rPr>
                <w:rFonts w:ascii="Calibri" w:eastAsia="Times New Roman" w:hAnsi="Calibri" w:cs="Times New Roman"/>
                <w:color w:val="000000"/>
                <w:sz w:val="18"/>
                <w:szCs w:val="18"/>
                <w:lang w:val="nl-BE" w:eastAsia="nl-BE"/>
              </w:rPr>
            </w:pPr>
            <w:r w:rsidRPr="00BF44DE">
              <w:rPr>
                <w:rFonts w:ascii="Calibri" w:eastAsia="Times New Roman" w:hAnsi="Calibri" w:cs="Times New Roman"/>
                <w:color w:val="000000"/>
                <w:sz w:val="18"/>
                <w:szCs w:val="18"/>
                <w:lang w:val="nl-BE" w:eastAsia="nl-BE"/>
              </w:rPr>
              <w:t>100.00%</w:t>
            </w:r>
          </w:p>
        </w:tc>
        <w:tc>
          <w:tcPr>
            <w:tcW w:w="1685" w:type="dxa"/>
            <w:tcBorders>
              <w:top w:val="nil"/>
              <w:left w:val="nil"/>
              <w:bottom w:val="single" w:sz="4" w:space="0" w:color="auto"/>
              <w:right w:val="single" w:sz="4" w:space="0" w:color="auto"/>
            </w:tcBorders>
            <w:shd w:val="clear" w:color="auto" w:fill="auto"/>
            <w:noWrap/>
            <w:vAlign w:val="center"/>
            <w:hideMark/>
          </w:tcPr>
          <w:p w:rsidR="00BF44DE" w:rsidRPr="00BF44DE" w:rsidRDefault="00BF44DE" w:rsidP="00BF44DE">
            <w:pPr>
              <w:spacing w:after="0" w:line="240" w:lineRule="auto"/>
              <w:jc w:val="center"/>
              <w:rPr>
                <w:rFonts w:ascii="Calibri" w:eastAsia="Times New Roman" w:hAnsi="Calibri" w:cs="Times New Roman"/>
                <w:color w:val="000000"/>
                <w:sz w:val="18"/>
                <w:szCs w:val="18"/>
                <w:lang w:val="nl-BE" w:eastAsia="nl-BE"/>
              </w:rPr>
            </w:pPr>
            <w:r w:rsidRPr="00BF44DE">
              <w:rPr>
                <w:rFonts w:ascii="Calibri" w:eastAsia="Times New Roman" w:hAnsi="Calibri" w:cs="Times New Roman"/>
                <w:color w:val="000000"/>
                <w:sz w:val="18"/>
                <w:szCs w:val="18"/>
                <w:lang w:val="nl-BE" w:eastAsia="nl-BE"/>
              </w:rPr>
              <w:t>N/C</w:t>
            </w:r>
          </w:p>
        </w:tc>
        <w:tc>
          <w:tcPr>
            <w:tcW w:w="1685" w:type="dxa"/>
            <w:tcBorders>
              <w:top w:val="nil"/>
              <w:left w:val="nil"/>
              <w:bottom w:val="single" w:sz="4" w:space="0" w:color="auto"/>
              <w:right w:val="single" w:sz="4" w:space="0" w:color="auto"/>
            </w:tcBorders>
            <w:shd w:val="clear" w:color="auto" w:fill="auto"/>
            <w:noWrap/>
            <w:vAlign w:val="center"/>
            <w:hideMark/>
          </w:tcPr>
          <w:p w:rsidR="00BF44DE" w:rsidRPr="00BF44DE" w:rsidRDefault="00BF44DE" w:rsidP="00BF44DE">
            <w:pPr>
              <w:spacing w:after="0" w:line="240" w:lineRule="auto"/>
              <w:jc w:val="center"/>
              <w:rPr>
                <w:rFonts w:ascii="Calibri" w:eastAsia="Times New Roman" w:hAnsi="Calibri" w:cs="Times New Roman"/>
                <w:color w:val="000000"/>
                <w:sz w:val="18"/>
                <w:szCs w:val="18"/>
                <w:lang w:val="nl-BE" w:eastAsia="nl-BE"/>
              </w:rPr>
            </w:pPr>
            <w:r w:rsidRPr="00BF44DE">
              <w:rPr>
                <w:rFonts w:ascii="Calibri" w:eastAsia="Times New Roman" w:hAnsi="Calibri" w:cs="Times New Roman"/>
                <w:color w:val="000000"/>
                <w:sz w:val="18"/>
                <w:szCs w:val="18"/>
                <w:lang w:val="nl-BE" w:eastAsia="nl-BE"/>
              </w:rPr>
              <w:t>N/C</w:t>
            </w:r>
          </w:p>
        </w:tc>
        <w:tc>
          <w:tcPr>
            <w:tcW w:w="1685" w:type="dxa"/>
            <w:tcBorders>
              <w:top w:val="nil"/>
              <w:left w:val="nil"/>
              <w:bottom w:val="single" w:sz="4" w:space="0" w:color="auto"/>
              <w:right w:val="single" w:sz="8" w:space="0" w:color="auto"/>
            </w:tcBorders>
            <w:shd w:val="clear" w:color="auto" w:fill="auto"/>
            <w:noWrap/>
            <w:vAlign w:val="center"/>
            <w:hideMark/>
          </w:tcPr>
          <w:p w:rsidR="00BF44DE" w:rsidRPr="00BF44DE" w:rsidRDefault="00BF44DE" w:rsidP="00BF44DE">
            <w:pPr>
              <w:spacing w:after="0" w:line="240" w:lineRule="auto"/>
              <w:jc w:val="center"/>
              <w:rPr>
                <w:rFonts w:ascii="Calibri" w:eastAsia="Times New Roman" w:hAnsi="Calibri" w:cs="Times New Roman"/>
                <w:color w:val="000000"/>
                <w:sz w:val="18"/>
                <w:szCs w:val="18"/>
                <w:lang w:val="nl-BE" w:eastAsia="nl-BE"/>
              </w:rPr>
            </w:pPr>
            <w:r w:rsidRPr="00BF44DE">
              <w:rPr>
                <w:rFonts w:ascii="Calibri" w:eastAsia="Times New Roman" w:hAnsi="Calibri" w:cs="Times New Roman"/>
                <w:color w:val="000000"/>
                <w:sz w:val="18"/>
                <w:szCs w:val="18"/>
                <w:lang w:val="nl-BE" w:eastAsia="nl-BE"/>
              </w:rPr>
              <w:t>0%</w:t>
            </w:r>
          </w:p>
        </w:tc>
      </w:tr>
    </w:tbl>
    <w:p w:rsidR="00BF44DE" w:rsidRDefault="00BF44DE" w:rsidP="00BF44DE"/>
    <w:p w:rsidR="00BF44DE" w:rsidRDefault="00BF44DE" w:rsidP="00BF44DE"/>
    <w:p w:rsidR="00BF44DE" w:rsidRDefault="00BF44DE" w:rsidP="00BF44DE"/>
    <w:p w:rsidR="00BF44DE" w:rsidRDefault="00BF44DE" w:rsidP="00BF44DE">
      <w:pPr>
        <w:rPr>
          <w:rFonts w:ascii="Arial" w:hAnsi="Arial" w:cs="Arial"/>
          <w:color w:val="000000"/>
          <w:shd w:val="clear" w:color="auto" w:fill="FFFFFF"/>
        </w:rPr>
      </w:pPr>
    </w:p>
    <w:p w:rsidR="00BF44DE" w:rsidRDefault="00BF44DE" w:rsidP="00BF44DE"/>
    <w:p w:rsidR="00BF44DE" w:rsidRDefault="00BF44DE" w:rsidP="00BF44DE"/>
    <w:p w:rsidR="00BF44DE" w:rsidRDefault="00BF44DE"/>
    <w:p w:rsidR="00BF44DE" w:rsidRDefault="00BF44DE"/>
    <w:tbl>
      <w:tblPr>
        <w:tblW w:w="10512" w:type="dxa"/>
        <w:tblCellMar>
          <w:left w:w="70" w:type="dxa"/>
          <w:right w:w="70" w:type="dxa"/>
        </w:tblCellMar>
        <w:tblLook w:val="04A0" w:firstRow="1" w:lastRow="0" w:firstColumn="1" w:lastColumn="0" w:noHBand="0" w:noVBand="1"/>
      </w:tblPr>
      <w:tblGrid>
        <w:gridCol w:w="3318"/>
        <w:gridCol w:w="3318"/>
        <w:gridCol w:w="3876"/>
      </w:tblGrid>
      <w:tr w:rsidR="00BF44DE" w:rsidRPr="001D173E" w:rsidTr="00BF44DE">
        <w:trPr>
          <w:trHeight w:val="171"/>
        </w:trPr>
        <w:tc>
          <w:tcPr>
            <w:tcW w:w="10512" w:type="dxa"/>
            <w:gridSpan w:val="3"/>
            <w:tcBorders>
              <w:top w:val="single" w:sz="8" w:space="0" w:color="auto"/>
              <w:left w:val="single" w:sz="8" w:space="0" w:color="auto"/>
              <w:bottom w:val="single" w:sz="8" w:space="0" w:color="auto"/>
              <w:right w:val="single" w:sz="8" w:space="0" w:color="000000"/>
            </w:tcBorders>
            <w:shd w:val="clear" w:color="000000" w:fill="164988"/>
            <w:vAlign w:val="center"/>
            <w:hideMark/>
          </w:tcPr>
          <w:p w:rsidR="00BF44DE" w:rsidRPr="001D173E" w:rsidRDefault="00BF44DE" w:rsidP="005D25E7">
            <w:pPr>
              <w:spacing w:after="0" w:line="240" w:lineRule="auto"/>
              <w:jc w:val="center"/>
              <w:rPr>
                <w:rFonts w:ascii="Verdana" w:eastAsia="Times New Roman" w:hAnsi="Verdana" w:cs="Times New Roman"/>
                <w:b/>
                <w:bCs/>
                <w:color w:val="FFFFFF"/>
                <w:sz w:val="18"/>
                <w:szCs w:val="20"/>
                <w:lang w:val="nl-BE" w:eastAsia="nl-BE"/>
              </w:rPr>
            </w:pPr>
            <w:r w:rsidRPr="001D173E">
              <w:rPr>
                <w:rFonts w:ascii="Verdana" w:eastAsia="Times New Roman" w:hAnsi="Verdana" w:cs="Times New Roman"/>
                <w:b/>
                <w:bCs/>
                <w:color w:val="FFFFFF"/>
                <w:sz w:val="18"/>
                <w:szCs w:val="20"/>
                <w:lang w:val="nl-BE" w:eastAsia="nl-BE"/>
              </w:rPr>
              <w:t>Quality of execution</w:t>
            </w:r>
          </w:p>
        </w:tc>
      </w:tr>
      <w:tr w:rsidR="00BF44DE" w:rsidRPr="001D173E" w:rsidTr="00BF44DE">
        <w:trPr>
          <w:trHeight w:val="230"/>
        </w:trPr>
        <w:tc>
          <w:tcPr>
            <w:tcW w:w="10512" w:type="dxa"/>
            <w:gridSpan w:val="3"/>
            <w:tcBorders>
              <w:top w:val="nil"/>
              <w:left w:val="single" w:sz="8" w:space="0" w:color="auto"/>
              <w:bottom w:val="nil"/>
              <w:right w:val="single" w:sz="8" w:space="0" w:color="000000"/>
            </w:tcBorders>
            <w:shd w:val="clear" w:color="auto" w:fill="auto"/>
            <w:hideMark/>
          </w:tcPr>
          <w:p w:rsidR="00BF44DE" w:rsidRDefault="00BF44DE" w:rsidP="005D25E7">
            <w:pPr>
              <w:spacing w:after="0" w:line="240" w:lineRule="auto"/>
              <w:jc w:val="center"/>
              <w:rPr>
                <w:rFonts w:ascii="Verdana" w:eastAsia="Times New Roman" w:hAnsi="Verdana" w:cs="Times New Roman"/>
                <w:color w:val="000000"/>
                <w:sz w:val="18"/>
                <w:szCs w:val="20"/>
                <w:lang w:eastAsia="nl-BE"/>
              </w:rPr>
            </w:pPr>
          </w:p>
          <w:p w:rsidR="00BF44DE" w:rsidRDefault="00BF44DE" w:rsidP="005D25E7">
            <w:pPr>
              <w:spacing w:after="0" w:line="240" w:lineRule="auto"/>
              <w:jc w:val="center"/>
              <w:rPr>
                <w:rFonts w:ascii="Verdana" w:eastAsia="Times New Roman" w:hAnsi="Verdana" w:cs="Times New Roman"/>
                <w:color w:val="000000"/>
                <w:sz w:val="18"/>
                <w:szCs w:val="20"/>
                <w:lang w:eastAsia="nl-BE"/>
              </w:rPr>
            </w:pPr>
            <w:r w:rsidRPr="001D173E">
              <w:rPr>
                <w:rFonts w:ascii="Verdana" w:eastAsia="Times New Roman" w:hAnsi="Verdana" w:cs="Times New Roman"/>
                <w:color w:val="000000"/>
                <w:sz w:val="18"/>
                <w:szCs w:val="20"/>
                <w:lang w:eastAsia="nl-BE"/>
              </w:rPr>
              <w:t>As required by article 3(3) of RTS 28, we also provide below information pertaining to the quality of execution obtained on the execution venues where CapitalatWork executed all client orders.</w:t>
            </w:r>
          </w:p>
          <w:p w:rsidR="00BF44DE" w:rsidRPr="001D173E" w:rsidRDefault="00BF44DE" w:rsidP="005D25E7">
            <w:pPr>
              <w:spacing w:after="0" w:line="240" w:lineRule="auto"/>
              <w:jc w:val="center"/>
              <w:rPr>
                <w:rFonts w:ascii="Verdana" w:eastAsia="Times New Roman" w:hAnsi="Verdana" w:cs="Times New Roman"/>
                <w:color w:val="000000"/>
                <w:sz w:val="18"/>
                <w:szCs w:val="20"/>
                <w:lang w:eastAsia="nl-BE"/>
              </w:rPr>
            </w:pPr>
          </w:p>
        </w:tc>
      </w:tr>
      <w:tr w:rsidR="00BF44DE" w:rsidRPr="001D173E" w:rsidTr="00BF44DE">
        <w:trPr>
          <w:trHeight w:val="156"/>
        </w:trPr>
        <w:tc>
          <w:tcPr>
            <w:tcW w:w="3318" w:type="dxa"/>
            <w:tcBorders>
              <w:top w:val="single" w:sz="4" w:space="0" w:color="auto"/>
              <w:left w:val="single" w:sz="8" w:space="0" w:color="auto"/>
              <w:bottom w:val="single" w:sz="4" w:space="0" w:color="auto"/>
              <w:right w:val="single" w:sz="4" w:space="0" w:color="auto"/>
            </w:tcBorders>
            <w:shd w:val="clear" w:color="000000" w:fill="164988"/>
            <w:noWrap/>
            <w:vAlign w:val="bottom"/>
            <w:hideMark/>
          </w:tcPr>
          <w:p w:rsidR="00BF44DE" w:rsidRPr="001D173E" w:rsidRDefault="00BF44DE" w:rsidP="005D25E7">
            <w:pPr>
              <w:spacing w:after="0" w:line="240" w:lineRule="auto"/>
              <w:jc w:val="center"/>
              <w:rPr>
                <w:rFonts w:ascii="Verdana" w:eastAsia="Times New Roman" w:hAnsi="Verdana" w:cs="Times New Roman"/>
                <w:b/>
                <w:bCs/>
                <w:color w:val="FFFFFF"/>
                <w:sz w:val="18"/>
                <w:szCs w:val="20"/>
                <w:lang w:val="nl-BE" w:eastAsia="nl-BE"/>
              </w:rPr>
            </w:pPr>
            <w:r w:rsidRPr="001D173E">
              <w:rPr>
                <w:rFonts w:ascii="Verdana" w:eastAsia="Times New Roman" w:hAnsi="Verdana" w:cs="Times New Roman"/>
                <w:b/>
                <w:bCs/>
                <w:color w:val="FFFFFF"/>
                <w:sz w:val="18"/>
                <w:szCs w:val="20"/>
                <w:lang w:val="nl-BE" w:eastAsia="nl-BE"/>
              </w:rPr>
              <w:t>Type of information</w:t>
            </w:r>
          </w:p>
        </w:tc>
        <w:tc>
          <w:tcPr>
            <w:tcW w:w="3318" w:type="dxa"/>
            <w:tcBorders>
              <w:top w:val="single" w:sz="4" w:space="0" w:color="auto"/>
              <w:left w:val="nil"/>
              <w:bottom w:val="single" w:sz="4" w:space="0" w:color="auto"/>
              <w:right w:val="single" w:sz="4" w:space="0" w:color="auto"/>
            </w:tcBorders>
            <w:shd w:val="clear" w:color="000000" w:fill="164988"/>
            <w:noWrap/>
            <w:vAlign w:val="bottom"/>
            <w:hideMark/>
          </w:tcPr>
          <w:p w:rsidR="00BF44DE" w:rsidRPr="001D173E" w:rsidRDefault="00BF44DE" w:rsidP="005D25E7">
            <w:pPr>
              <w:spacing w:after="0" w:line="240" w:lineRule="auto"/>
              <w:jc w:val="center"/>
              <w:rPr>
                <w:rFonts w:ascii="Verdana" w:eastAsia="Times New Roman" w:hAnsi="Verdana" w:cs="Times New Roman"/>
                <w:b/>
                <w:bCs/>
                <w:color w:val="FFFFFF"/>
                <w:sz w:val="18"/>
                <w:szCs w:val="20"/>
                <w:lang w:val="nl-BE" w:eastAsia="nl-BE"/>
              </w:rPr>
            </w:pPr>
            <w:r w:rsidRPr="001D173E">
              <w:rPr>
                <w:rFonts w:ascii="Verdana" w:eastAsia="Times New Roman" w:hAnsi="Verdana" w:cs="Times New Roman"/>
                <w:b/>
                <w:bCs/>
                <w:color w:val="FFFFFF"/>
                <w:sz w:val="18"/>
                <w:szCs w:val="20"/>
                <w:lang w:val="nl-BE" w:eastAsia="nl-BE"/>
              </w:rPr>
              <w:t>Instrument applicability</w:t>
            </w:r>
          </w:p>
        </w:tc>
        <w:tc>
          <w:tcPr>
            <w:tcW w:w="3876" w:type="dxa"/>
            <w:tcBorders>
              <w:top w:val="single" w:sz="4" w:space="0" w:color="auto"/>
              <w:left w:val="nil"/>
              <w:bottom w:val="single" w:sz="4" w:space="0" w:color="auto"/>
              <w:right w:val="single" w:sz="8" w:space="0" w:color="000000"/>
            </w:tcBorders>
            <w:shd w:val="clear" w:color="000000" w:fill="164988"/>
            <w:noWrap/>
            <w:vAlign w:val="bottom"/>
            <w:hideMark/>
          </w:tcPr>
          <w:p w:rsidR="00BF44DE" w:rsidRPr="001D173E" w:rsidRDefault="00BF44DE" w:rsidP="005D25E7">
            <w:pPr>
              <w:spacing w:after="0" w:line="240" w:lineRule="auto"/>
              <w:jc w:val="center"/>
              <w:rPr>
                <w:rFonts w:ascii="Verdana" w:eastAsia="Times New Roman" w:hAnsi="Verdana" w:cs="Times New Roman"/>
                <w:b/>
                <w:bCs/>
                <w:color w:val="FFFFFF"/>
                <w:sz w:val="18"/>
                <w:szCs w:val="20"/>
                <w:lang w:val="nl-BE" w:eastAsia="nl-BE"/>
              </w:rPr>
            </w:pPr>
            <w:r w:rsidRPr="001D173E">
              <w:rPr>
                <w:rFonts w:ascii="Verdana" w:eastAsia="Times New Roman" w:hAnsi="Verdana" w:cs="Times New Roman"/>
                <w:b/>
                <w:bCs/>
                <w:color w:val="FFFFFF"/>
                <w:sz w:val="18"/>
                <w:szCs w:val="20"/>
                <w:lang w:val="nl-BE" w:eastAsia="nl-BE"/>
              </w:rPr>
              <w:t>Commentary</w:t>
            </w:r>
          </w:p>
        </w:tc>
      </w:tr>
      <w:tr w:rsidR="00BF44DE" w:rsidRPr="001D173E" w:rsidTr="00BF44DE">
        <w:trPr>
          <w:trHeight w:val="702"/>
        </w:trPr>
        <w:tc>
          <w:tcPr>
            <w:tcW w:w="3318" w:type="dxa"/>
            <w:tcBorders>
              <w:top w:val="single" w:sz="4" w:space="0" w:color="auto"/>
              <w:left w:val="single" w:sz="8" w:space="0" w:color="auto"/>
              <w:bottom w:val="single" w:sz="4" w:space="0" w:color="auto"/>
              <w:right w:val="single" w:sz="4" w:space="0" w:color="auto"/>
            </w:tcBorders>
            <w:shd w:val="clear" w:color="auto" w:fill="auto"/>
            <w:hideMark/>
          </w:tcPr>
          <w:p w:rsidR="00BF44DE" w:rsidRPr="001D173E" w:rsidRDefault="00BF44DE" w:rsidP="005D25E7">
            <w:pPr>
              <w:spacing w:after="0" w:line="240" w:lineRule="auto"/>
              <w:rPr>
                <w:rFonts w:ascii="Verdana" w:eastAsia="Times New Roman" w:hAnsi="Verdana" w:cs="Times New Roman"/>
                <w:color w:val="000000"/>
                <w:sz w:val="18"/>
                <w:szCs w:val="20"/>
                <w:lang w:eastAsia="nl-BE"/>
              </w:rPr>
            </w:pPr>
            <w:r w:rsidRPr="001D173E">
              <w:rPr>
                <w:rFonts w:ascii="Verdana" w:eastAsia="Times New Roman" w:hAnsi="Verdana" w:cs="Times New Roman"/>
                <w:color w:val="000000"/>
                <w:sz w:val="18"/>
                <w:szCs w:val="20"/>
                <w:lang w:eastAsia="nl-BE"/>
              </w:rPr>
              <w:t>(a) an explanation of the relative importance the firm gave to the execution factors of price, costs, speed, likelihood of execution or any other consideration including qualitative factors when assessing the quality of execution;</w:t>
            </w:r>
          </w:p>
        </w:tc>
        <w:tc>
          <w:tcPr>
            <w:tcW w:w="3318" w:type="dxa"/>
            <w:tcBorders>
              <w:top w:val="single" w:sz="4" w:space="0" w:color="auto"/>
              <w:left w:val="nil"/>
              <w:bottom w:val="single" w:sz="4" w:space="0" w:color="auto"/>
              <w:right w:val="single" w:sz="4" w:space="0" w:color="auto"/>
            </w:tcBorders>
            <w:shd w:val="clear" w:color="auto" w:fill="auto"/>
            <w:vAlign w:val="center"/>
            <w:hideMark/>
          </w:tcPr>
          <w:p w:rsidR="00BF44DE" w:rsidRPr="001D173E" w:rsidRDefault="00BF44DE" w:rsidP="005D25E7">
            <w:pPr>
              <w:spacing w:after="0" w:line="240" w:lineRule="auto"/>
              <w:jc w:val="center"/>
              <w:rPr>
                <w:rFonts w:ascii="Verdana" w:eastAsia="Times New Roman" w:hAnsi="Verdana" w:cs="Times New Roman"/>
                <w:color w:val="000000"/>
                <w:sz w:val="18"/>
                <w:szCs w:val="20"/>
                <w:lang w:val="nl-BE" w:eastAsia="nl-BE"/>
              </w:rPr>
            </w:pPr>
            <w:r w:rsidRPr="001D173E">
              <w:rPr>
                <w:rFonts w:ascii="Verdana" w:eastAsia="Times New Roman" w:hAnsi="Verdana" w:cs="Times New Roman"/>
                <w:color w:val="000000"/>
                <w:sz w:val="18"/>
                <w:szCs w:val="20"/>
                <w:lang w:val="nl-BE" w:eastAsia="nl-BE"/>
              </w:rPr>
              <w:t>All instruments</w:t>
            </w:r>
          </w:p>
        </w:tc>
        <w:tc>
          <w:tcPr>
            <w:tcW w:w="3876" w:type="dxa"/>
            <w:tcBorders>
              <w:top w:val="single" w:sz="4" w:space="0" w:color="auto"/>
              <w:left w:val="nil"/>
              <w:bottom w:val="single" w:sz="4" w:space="0" w:color="auto"/>
              <w:right w:val="single" w:sz="8" w:space="0" w:color="000000"/>
            </w:tcBorders>
            <w:shd w:val="clear" w:color="auto" w:fill="auto"/>
            <w:hideMark/>
          </w:tcPr>
          <w:p w:rsidR="00BF44DE" w:rsidRPr="001D173E" w:rsidRDefault="00BF44DE" w:rsidP="005D25E7">
            <w:pPr>
              <w:spacing w:after="0" w:line="240" w:lineRule="auto"/>
              <w:rPr>
                <w:rFonts w:ascii="Verdana" w:eastAsia="Times New Roman" w:hAnsi="Verdana" w:cs="Times New Roman"/>
                <w:color w:val="000000"/>
                <w:sz w:val="18"/>
                <w:szCs w:val="20"/>
                <w:lang w:eastAsia="nl-BE"/>
              </w:rPr>
            </w:pPr>
            <w:r w:rsidRPr="001D173E">
              <w:rPr>
                <w:rFonts w:ascii="Verdana" w:eastAsia="Times New Roman" w:hAnsi="Verdana" w:cs="Times New Roman"/>
                <w:color w:val="000000"/>
                <w:sz w:val="18"/>
                <w:szCs w:val="20"/>
                <w:lang w:eastAsia="nl-BE"/>
              </w:rPr>
              <w:t xml:space="preserve">The above-mentionned execution factors are of paramount importance. Among them, the execution factor of price is the most important. Although less important than the previous factor, the speed of execution is also significant when executing orders. </w:t>
            </w:r>
          </w:p>
        </w:tc>
      </w:tr>
      <w:tr w:rsidR="00BF44DE" w:rsidRPr="001D173E" w:rsidTr="00BF44DE">
        <w:trPr>
          <w:trHeight w:val="518"/>
        </w:trPr>
        <w:tc>
          <w:tcPr>
            <w:tcW w:w="3318" w:type="dxa"/>
            <w:tcBorders>
              <w:top w:val="single" w:sz="4" w:space="0" w:color="auto"/>
              <w:left w:val="single" w:sz="8" w:space="0" w:color="auto"/>
              <w:bottom w:val="single" w:sz="4" w:space="0" w:color="auto"/>
              <w:right w:val="single" w:sz="4" w:space="0" w:color="auto"/>
            </w:tcBorders>
            <w:shd w:val="clear" w:color="auto" w:fill="auto"/>
            <w:hideMark/>
          </w:tcPr>
          <w:p w:rsidR="00BF44DE" w:rsidRPr="001D173E" w:rsidRDefault="00BF44DE" w:rsidP="005D25E7">
            <w:pPr>
              <w:spacing w:after="0" w:line="240" w:lineRule="auto"/>
              <w:rPr>
                <w:rFonts w:ascii="Verdana" w:eastAsia="Times New Roman" w:hAnsi="Verdana" w:cs="Times New Roman"/>
                <w:color w:val="000000"/>
                <w:sz w:val="18"/>
                <w:szCs w:val="20"/>
                <w:lang w:eastAsia="nl-BE"/>
              </w:rPr>
            </w:pPr>
            <w:r w:rsidRPr="001D173E">
              <w:rPr>
                <w:rFonts w:ascii="Verdana" w:eastAsia="Times New Roman" w:hAnsi="Verdana" w:cs="Times New Roman"/>
                <w:color w:val="000000"/>
                <w:sz w:val="18"/>
                <w:szCs w:val="20"/>
                <w:lang w:eastAsia="nl-BE"/>
              </w:rPr>
              <w:t>(b) a description of any close links, conflicts of interests, and common ownerships with respect to any execution venues used to execute orders;</w:t>
            </w:r>
          </w:p>
        </w:tc>
        <w:tc>
          <w:tcPr>
            <w:tcW w:w="3318" w:type="dxa"/>
            <w:tcBorders>
              <w:top w:val="single" w:sz="4" w:space="0" w:color="auto"/>
              <w:left w:val="nil"/>
              <w:bottom w:val="single" w:sz="4" w:space="0" w:color="auto"/>
              <w:right w:val="single" w:sz="4" w:space="0" w:color="auto"/>
            </w:tcBorders>
            <w:shd w:val="clear" w:color="auto" w:fill="auto"/>
            <w:vAlign w:val="center"/>
            <w:hideMark/>
          </w:tcPr>
          <w:p w:rsidR="00BF44DE" w:rsidRPr="001D173E" w:rsidRDefault="00BF44DE" w:rsidP="005D25E7">
            <w:pPr>
              <w:spacing w:after="0" w:line="240" w:lineRule="auto"/>
              <w:jc w:val="center"/>
              <w:rPr>
                <w:rFonts w:ascii="Verdana" w:eastAsia="Times New Roman" w:hAnsi="Verdana" w:cs="Times New Roman"/>
                <w:color w:val="000000"/>
                <w:sz w:val="18"/>
                <w:szCs w:val="20"/>
                <w:lang w:val="nl-BE" w:eastAsia="nl-BE"/>
              </w:rPr>
            </w:pPr>
            <w:r w:rsidRPr="001D173E">
              <w:rPr>
                <w:rFonts w:ascii="Verdana" w:eastAsia="Times New Roman" w:hAnsi="Verdana" w:cs="Times New Roman"/>
                <w:color w:val="000000"/>
                <w:sz w:val="18"/>
                <w:szCs w:val="20"/>
                <w:lang w:val="nl-BE" w:eastAsia="nl-BE"/>
              </w:rPr>
              <w:t>All instruments</w:t>
            </w:r>
          </w:p>
        </w:tc>
        <w:tc>
          <w:tcPr>
            <w:tcW w:w="3876" w:type="dxa"/>
            <w:tcBorders>
              <w:top w:val="single" w:sz="4" w:space="0" w:color="auto"/>
              <w:left w:val="nil"/>
              <w:bottom w:val="single" w:sz="4" w:space="0" w:color="auto"/>
              <w:right w:val="single" w:sz="8" w:space="0" w:color="000000"/>
            </w:tcBorders>
            <w:shd w:val="clear" w:color="auto" w:fill="auto"/>
            <w:noWrap/>
            <w:vAlign w:val="center"/>
            <w:hideMark/>
          </w:tcPr>
          <w:p w:rsidR="00BF44DE" w:rsidRPr="001D173E" w:rsidRDefault="00BF44DE" w:rsidP="005D25E7">
            <w:pPr>
              <w:spacing w:after="0" w:line="240" w:lineRule="auto"/>
              <w:jc w:val="center"/>
              <w:rPr>
                <w:rFonts w:ascii="Verdana" w:eastAsia="Times New Roman" w:hAnsi="Verdana" w:cs="Times New Roman"/>
                <w:color w:val="000000"/>
                <w:sz w:val="18"/>
                <w:szCs w:val="20"/>
                <w:lang w:val="nl-BE" w:eastAsia="nl-BE"/>
              </w:rPr>
            </w:pPr>
            <w:r w:rsidRPr="001D173E">
              <w:rPr>
                <w:rFonts w:ascii="Verdana" w:eastAsia="Times New Roman" w:hAnsi="Verdana" w:cs="Times New Roman"/>
                <w:color w:val="000000"/>
                <w:sz w:val="18"/>
                <w:szCs w:val="20"/>
                <w:lang w:val="nl-BE" w:eastAsia="nl-BE"/>
              </w:rPr>
              <w:t>N/A</w:t>
            </w:r>
          </w:p>
        </w:tc>
      </w:tr>
      <w:tr w:rsidR="00BF44DE" w:rsidRPr="001D173E" w:rsidTr="00BF44DE">
        <w:trPr>
          <w:trHeight w:val="518"/>
        </w:trPr>
        <w:tc>
          <w:tcPr>
            <w:tcW w:w="3318" w:type="dxa"/>
            <w:tcBorders>
              <w:top w:val="single" w:sz="4" w:space="0" w:color="auto"/>
              <w:left w:val="single" w:sz="8" w:space="0" w:color="auto"/>
              <w:bottom w:val="single" w:sz="4" w:space="0" w:color="auto"/>
              <w:right w:val="single" w:sz="4" w:space="0" w:color="auto"/>
            </w:tcBorders>
            <w:shd w:val="clear" w:color="auto" w:fill="auto"/>
            <w:hideMark/>
          </w:tcPr>
          <w:p w:rsidR="00BF44DE" w:rsidRPr="001D173E" w:rsidRDefault="00BF44DE" w:rsidP="005D25E7">
            <w:pPr>
              <w:spacing w:after="0" w:line="240" w:lineRule="auto"/>
              <w:rPr>
                <w:rFonts w:ascii="Verdana" w:eastAsia="Times New Roman" w:hAnsi="Verdana" w:cs="Times New Roman"/>
                <w:color w:val="000000"/>
                <w:sz w:val="18"/>
                <w:szCs w:val="20"/>
                <w:lang w:eastAsia="nl-BE"/>
              </w:rPr>
            </w:pPr>
            <w:r w:rsidRPr="001D173E">
              <w:rPr>
                <w:rFonts w:ascii="Verdana" w:eastAsia="Times New Roman" w:hAnsi="Verdana" w:cs="Times New Roman"/>
                <w:color w:val="000000"/>
                <w:sz w:val="18"/>
                <w:szCs w:val="20"/>
                <w:lang w:eastAsia="nl-BE"/>
              </w:rPr>
              <w:t>(c) a description of any specific arrangements with any execution venues regarding payments made or received, discounts, rebates or non-monetary benefits received;</w:t>
            </w:r>
          </w:p>
        </w:tc>
        <w:tc>
          <w:tcPr>
            <w:tcW w:w="3318" w:type="dxa"/>
            <w:tcBorders>
              <w:top w:val="single" w:sz="4" w:space="0" w:color="auto"/>
              <w:left w:val="nil"/>
              <w:bottom w:val="single" w:sz="4" w:space="0" w:color="auto"/>
              <w:right w:val="single" w:sz="4" w:space="0" w:color="auto"/>
            </w:tcBorders>
            <w:shd w:val="clear" w:color="auto" w:fill="auto"/>
            <w:vAlign w:val="center"/>
            <w:hideMark/>
          </w:tcPr>
          <w:p w:rsidR="00BF44DE" w:rsidRPr="001D173E" w:rsidRDefault="00BF44DE" w:rsidP="005D25E7">
            <w:pPr>
              <w:spacing w:after="0" w:line="240" w:lineRule="auto"/>
              <w:jc w:val="center"/>
              <w:rPr>
                <w:rFonts w:ascii="Verdana" w:eastAsia="Times New Roman" w:hAnsi="Verdana" w:cs="Times New Roman"/>
                <w:color w:val="000000"/>
                <w:sz w:val="18"/>
                <w:szCs w:val="20"/>
                <w:lang w:val="nl-BE" w:eastAsia="nl-BE"/>
              </w:rPr>
            </w:pPr>
            <w:r w:rsidRPr="001D173E">
              <w:rPr>
                <w:rFonts w:ascii="Verdana" w:eastAsia="Times New Roman" w:hAnsi="Verdana" w:cs="Times New Roman"/>
                <w:color w:val="000000"/>
                <w:sz w:val="18"/>
                <w:szCs w:val="20"/>
                <w:lang w:val="nl-BE" w:eastAsia="nl-BE"/>
              </w:rPr>
              <w:t>All instruments</w:t>
            </w:r>
          </w:p>
        </w:tc>
        <w:tc>
          <w:tcPr>
            <w:tcW w:w="3876" w:type="dxa"/>
            <w:tcBorders>
              <w:top w:val="single" w:sz="4" w:space="0" w:color="auto"/>
              <w:left w:val="nil"/>
              <w:bottom w:val="single" w:sz="4" w:space="0" w:color="auto"/>
              <w:right w:val="single" w:sz="8" w:space="0" w:color="000000"/>
            </w:tcBorders>
            <w:shd w:val="clear" w:color="auto" w:fill="auto"/>
            <w:noWrap/>
            <w:vAlign w:val="center"/>
            <w:hideMark/>
          </w:tcPr>
          <w:p w:rsidR="00BF44DE" w:rsidRPr="001D173E" w:rsidRDefault="00BF44DE" w:rsidP="005D25E7">
            <w:pPr>
              <w:spacing w:after="0" w:line="240" w:lineRule="auto"/>
              <w:jc w:val="center"/>
              <w:rPr>
                <w:rFonts w:ascii="Verdana" w:eastAsia="Times New Roman" w:hAnsi="Verdana" w:cs="Times New Roman"/>
                <w:color w:val="000000"/>
                <w:sz w:val="18"/>
                <w:szCs w:val="20"/>
                <w:lang w:val="nl-BE" w:eastAsia="nl-BE"/>
              </w:rPr>
            </w:pPr>
            <w:r w:rsidRPr="001D173E">
              <w:rPr>
                <w:rFonts w:ascii="Verdana" w:eastAsia="Times New Roman" w:hAnsi="Verdana" w:cs="Times New Roman"/>
                <w:color w:val="000000"/>
                <w:sz w:val="18"/>
                <w:szCs w:val="20"/>
                <w:lang w:val="nl-BE" w:eastAsia="nl-BE"/>
              </w:rPr>
              <w:t>N/A</w:t>
            </w:r>
          </w:p>
        </w:tc>
      </w:tr>
      <w:tr w:rsidR="00BF44DE" w:rsidRPr="001D173E" w:rsidTr="00BF44DE">
        <w:trPr>
          <w:trHeight w:val="510"/>
        </w:trPr>
        <w:tc>
          <w:tcPr>
            <w:tcW w:w="3318" w:type="dxa"/>
            <w:tcBorders>
              <w:top w:val="single" w:sz="4" w:space="0" w:color="auto"/>
              <w:left w:val="single" w:sz="8" w:space="0" w:color="auto"/>
              <w:bottom w:val="single" w:sz="4" w:space="0" w:color="auto"/>
              <w:right w:val="single" w:sz="4" w:space="0" w:color="auto"/>
            </w:tcBorders>
            <w:shd w:val="clear" w:color="auto" w:fill="auto"/>
            <w:hideMark/>
          </w:tcPr>
          <w:p w:rsidR="00BF44DE" w:rsidRPr="001D173E" w:rsidRDefault="00BF44DE" w:rsidP="005D25E7">
            <w:pPr>
              <w:spacing w:after="0" w:line="240" w:lineRule="auto"/>
              <w:rPr>
                <w:rFonts w:ascii="Verdana" w:eastAsia="Times New Roman" w:hAnsi="Verdana" w:cs="Times New Roman"/>
                <w:color w:val="000000"/>
                <w:sz w:val="18"/>
                <w:szCs w:val="20"/>
                <w:lang w:eastAsia="nl-BE"/>
              </w:rPr>
            </w:pPr>
            <w:r w:rsidRPr="001D173E">
              <w:rPr>
                <w:rFonts w:ascii="Verdana" w:eastAsia="Times New Roman" w:hAnsi="Verdana" w:cs="Times New Roman"/>
                <w:color w:val="000000"/>
                <w:sz w:val="18"/>
                <w:szCs w:val="20"/>
                <w:lang w:eastAsia="nl-BE"/>
              </w:rPr>
              <w:t>(d) an explanation of the factors that led to a change in the list of execution venues listed in the firm’s execution policy, if such a change occurred;</w:t>
            </w:r>
          </w:p>
        </w:tc>
        <w:tc>
          <w:tcPr>
            <w:tcW w:w="3318" w:type="dxa"/>
            <w:tcBorders>
              <w:top w:val="single" w:sz="4" w:space="0" w:color="auto"/>
              <w:left w:val="nil"/>
              <w:bottom w:val="single" w:sz="4" w:space="0" w:color="auto"/>
              <w:right w:val="single" w:sz="4" w:space="0" w:color="auto"/>
            </w:tcBorders>
            <w:shd w:val="clear" w:color="auto" w:fill="auto"/>
            <w:vAlign w:val="center"/>
            <w:hideMark/>
          </w:tcPr>
          <w:p w:rsidR="00BF44DE" w:rsidRPr="001D173E" w:rsidRDefault="00BF44DE" w:rsidP="005D25E7">
            <w:pPr>
              <w:spacing w:after="0" w:line="240" w:lineRule="auto"/>
              <w:jc w:val="center"/>
              <w:rPr>
                <w:rFonts w:ascii="Verdana" w:eastAsia="Times New Roman" w:hAnsi="Verdana" w:cs="Times New Roman"/>
                <w:color w:val="000000"/>
                <w:sz w:val="18"/>
                <w:szCs w:val="20"/>
                <w:lang w:val="nl-BE" w:eastAsia="nl-BE"/>
              </w:rPr>
            </w:pPr>
            <w:r w:rsidRPr="001D173E">
              <w:rPr>
                <w:rFonts w:ascii="Verdana" w:eastAsia="Times New Roman" w:hAnsi="Verdana" w:cs="Times New Roman"/>
                <w:color w:val="000000"/>
                <w:sz w:val="18"/>
                <w:szCs w:val="20"/>
                <w:lang w:val="nl-BE" w:eastAsia="nl-BE"/>
              </w:rPr>
              <w:t>All instruments</w:t>
            </w:r>
          </w:p>
        </w:tc>
        <w:tc>
          <w:tcPr>
            <w:tcW w:w="3876" w:type="dxa"/>
            <w:tcBorders>
              <w:top w:val="single" w:sz="4" w:space="0" w:color="auto"/>
              <w:left w:val="nil"/>
              <w:bottom w:val="single" w:sz="4" w:space="0" w:color="auto"/>
              <w:right w:val="single" w:sz="8" w:space="0" w:color="000000"/>
            </w:tcBorders>
            <w:shd w:val="clear" w:color="auto" w:fill="auto"/>
            <w:noWrap/>
            <w:vAlign w:val="center"/>
            <w:hideMark/>
          </w:tcPr>
          <w:p w:rsidR="00BF44DE" w:rsidRPr="001D173E" w:rsidRDefault="00BF44DE" w:rsidP="005D25E7">
            <w:pPr>
              <w:spacing w:after="0" w:line="240" w:lineRule="auto"/>
              <w:jc w:val="center"/>
              <w:rPr>
                <w:rFonts w:ascii="Verdana" w:eastAsia="Times New Roman" w:hAnsi="Verdana" w:cs="Times New Roman"/>
                <w:color w:val="000000"/>
                <w:sz w:val="18"/>
                <w:szCs w:val="20"/>
                <w:lang w:val="nl-BE" w:eastAsia="nl-BE"/>
              </w:rPr>
            </w:pPr>
            <w:r w:rsidRPr="001D173E">
              <w:rPr>
                <w:rFonts w:ascii="Verdana" w:eastAsia="Times New Roman" w:hAnsi="Verdana" w:cs="Times New Roman"/>
                <w:color w:val="000000"/>
                <w:sz w:val="18"/>
                <w:szCs w:val="20"/>
                <w:lang w:val="nl-BE" w:eastAsia="nl-BE"/>
              </w:rPr>
              <w:t>N/A</w:t>
            </w:r>
          </w:p>
        </w:tc>
      </w:tr>
      <w:tr w:rsidR="00BF44DE" w:rsidRPr="001D173E" w:rsidTr="00BF44DE">
        <w:trPr>
          <w:trHeight w:val="709"/>
        </w:trPr>
        <w:tc>
          <w:tcPr>
            <w:tcW w:w="3318" w:type="dxa"/>
            <w:tcBorders>
              <w:top w:val="single" w:sz="4" w:space="0" w:color="auto"/>
              <w:left w:val="single" w:sz="8" w:space="0" w:color="auto"/>
              <w:bottom w:val="single" w:sz="4" w:space="0" w:color="auto"/>
              <w:right w:val="single" w:sz="4" w:space="0" w:color="auto"/>
            </w:tcBorders>
            <w:shd w:val="clear" w:color="auto" w:fill="auto"/>
            <w:hideMark/>
          </w:tcPr>
          <w:p w:rsidR="00BF44DE" w:rsidRPr="001D173E" w:rsidRDefault="00BF44DE" w:rsidP="005D25E7">
            <w:pPr>
              <w:spacing w:after="0" w:line="240" w:lineRule="auto"/>
              <w:rPr>
                <w:rFonts w:ascii="Verdana" w:eastAsia="Times New Roman" w:hAnsi="Verdana" w:cs="Times New Roman"/>
                <w:color w:val="000000"/>
                <w:sz w:val="18"/>
                <w:szCs w:val="20"/>
                <w:lang w:eastAsia="nl-BE"/>
              </w:rPr>
            </w:pPr>
            <w:r w:rsidRPr="001D173E">
              <w:rPr>
                <w:rFonts w:ascii="Verdana" w:eastAsia="Times New Roman" w:hAnsi="Verdana" w:cs="Times New Roman"/>
                <w:color w:val="000000"/>
                <w:sz w:val="18"/>
                <w:szCs w:val="20"/>
                <w:lang w:eastAsia="nl-BE"/>
              </w:rPr>
              <w:t>(e) an explanation of how order execution differs according to client categorisation, where the firm treats categories of clients differently and where it may affect the order execution arrangements;</w:t>
            </w:r>
          </w:p>
        </w:tc>
        <w:tc>
          <w:tcPr>
            <w:tcW w:w="3318" w:type="dxa"/>
            <w:tcBorders>
              <w:top w:val="single" w:sz="4" w:space="0" w:color="auto"/>
              <w:left w:val="nil"/>
              <w:bottom w:val="single" w:sz="4" w:space="0" w:color="auto"/>
              <w:right w:val="single" w:sz="4" w:space="0" w:color="auto"/>
            </w:tcBorders>
            <w:shd w:val="clear" w:color="auto" w:fill="auto"/>
            <w:vAlign w:val="center"/>
            <w:hideMark/>
          </w:tcPr>
          <w:p w:rsidR="00BF44DE" w:rsidRPr="001D173E" w:rsidRDefault="00BF44DE" w:rsidP="005D25E7">
            <w:pPr>
              <w:spacing w:after="0" w:line="240" w:lineRule="auto"/>
              <w:jc w:val="center"/>
              <w:rPr>
                <w:rFonts w:ascii="Verdana" w:eastAsia="Times New Roman" w:hAnsi="Verdana" w:cs="Times New Roman"/>
                <w:color w:val="000000"/>
                <w:sz w:val="18"/>
                <w:szCs w:val="20"/>
                <w:lang w:val="nl-BE" w:eastAsia="nl-BE"/>
              </w:rPr>
            </w:pPr>
            <w:r w:rsidRPr="001D173E">
              <w:rPr>
                <w:rFonts w:ascii="Verdana" w:eastAsia="Times New Roman" w:hAnsi="Verdana" w:cs="Times New Roman"/>
                <w:color w:val="000000"/>
                <w:sz w:val="18"/>
                <w:szCs w:val="20"/>
                <w:lang w:val="nl-BE" w:eastAsia="nl-BE"/>
              </w:rPr>
              <w:t>All instruments</w:t>
            </w:r>
          </w:p>
        </w:tc>
        <w:tc>
          <w:tcPr>
            <w:tcW w:w="3876" w:type="dxa"/>
            <w:tcBorders>
              <w:top w:val="single" w:sz="4" w:space="0" w:color="auto"/>
              <w:left w:val="nil"/>
              <w:bottom w:val="single" w:sz="4" w:space="0" w:color="auto"/>
              <w:right w:val="single" w:sz="8" w:space="0" w:color="000000"/>
            </w:tcBorders>
            <w:shd w:val="clear" w:color="auto" w:fill="auto"/>
            <w:hideMark/>
          </w:tcPr>
          <w:p w:rsidR="00BF44DE" w:rsidRPr="001D173E" w:rsidRDefault="00BF44DE" w:rsidP="005D25E7">
            <w:pPr>
              <w:spacing w:after="0" w:line="240" w:lineRule="auto"/>
              <w:rPr>
                <w:rFonts w:ascii="Verdana" w:eastAsia="Times New Roman" w:hAnsi="Verdana" w:cs="Times New Roman"/>
                <w:color w:val="000000"/>
                <w:sz w:val="18"/>
                <w:szCs w:val="20"/>
                <w:lang w:eastAsia="nl-BE"/>
              </w:rPr>
            </w:pPr>
            <w:r w:rsidRPr="001D173E">
              <w:rPr>
                <w:rFonts w:ascii="Verdana" w:eastAsia="Times New Roman" w:hAnsi="Verdana" w:cs="Times New Roman"/>
                <w:color w:val="000000"/>
                <w:sz w:val="18"/>
                <w:szCs w:val="20"/>
                <w:lang w:eastAsia="nl-BE"/>
              </w:rPr>
              <w:t>How order execution differs according to client categorisation is explained in the Best execution Policy. Only retail clients benefit from the best execution protective rules.</w:t>
            </w:r>
          </w:p>
        </w:tc>
      </w:tr>
      <w:tr w:rsidR="00BF44DE" w:rsidRPr="001D173E" w:rsidTr="00BF44DE">
        <w:trPr>
          <w:trHeight w:val="841"/>
        </w:trPr>
        <w:tc>
          <w:tcPr>
            <w:tcW w:w="3318" w:type="dxa"/>
            <w:tcBorders>
              <w:top w:val="single" w:sz="4" w:space="0" w:color="auto"/>
              <w:left w:val="single" w:sz="8" w:space="0" w:color="auto"/>
              <w:bottom w:val="single" w:sz="4" w:space="0" w:color="auto"/>
              <w:right w:val="single" w:sz="4" w:space="0" w:color="auto"/>
            </w:tcBorders>
            <w:shd w:val="clear" w:color="auto" w:fill="auto"/>
            <w:hideMark/>
          </w:tcPr>
          <w:p w:rsidR="00BF44DE" w:rsidRPr="001D173E" w:rsidRDefault="00BF44DE" w:rsidP="005D25E7">
            <w:pPr>
              <w:spacing w:after="0" w:line="240" w:lineRule="auto"/>
              <w:rPr>
                <w:rFonts w:ascii="Verdana" w:eastAsia="Times New Roman" w:hAnsi="Verdana" w:cs="Times New Roman"/>
                <w:color w:val="000000"/>
                <w:sz w:val="18"/>
                <w:szCs w:val="20"/>
                <w:lang w:eastAsia="nl-BE"/>
              </w:rPr>
            </w:pPr>
            <w:r w:rsidRPr="001D173E">
              <w:rPr>
                <w:rFonts w:ascii="Verdana" w:eastAsia="Times New Roman" w:hAnsi="Verdana" w:cs="Times New Roman"/>
                <w:color w:val="000000"/>
                <w:sz w:val="18"/>
                <w:szCs w:val="20"/>
                <w:lang w:eastAsia="nl-BE"/>
              </w:rPr>
              <w:t>(f) an explanation of whether other criteria were given precedence over immediate price and cost when executing retail client orders and how these other criteria were instrumental in delivering the best possible result in terms of the total consideration to the client;</w:t>
            </w:r>
          </w:p>
        </w:tc>
        <w:tc>
          <w:tcPr>
            <w:tcW w:w="3318" w:type="dxa"/>
            <w:tcBorders>
              <w:top w:val="single" w:sz="4" w:space="0" w:color="auto"/>
              <w:left w:val="nil"/>
              <w:bottom w:val="single" w:sz="4" w:space="0" w:color="auto"/>
              <w:right w:val="single" w:sz="4" w:space="0" w:color="auto"/>
            </w:tcBorders>
            <w:shd w:val="clear" w:color="auto" w:fill="auto"/>
            <w:vAlign w:val="center"/>
            <w:hideMark/>
          </w:tcPr>
          <w:p w:rsidR="00BF44DE" w:rsidRPr="001D173E" w:rsidRDefault="00BF44DE" w:rsidP="005D25E7">
            <w:pPr>
              <w:spacing w:after="0" w:line="240" w:lineRule="auto"/>
              <w:jc w:val="center"/>
              <w:rPr>
                <w:rFonts w:ascii="Verdana" w:eastAsia="Times New Roman" w:hAnsi="Verdana" w:cs="Times New Roman"/>
                <w:color w:val="000000"/>
                <w:sz w:val="18"/>
                <w:szCs w:val="20"/>
                <w:lang w:val="nl-BE" w:eastAsia="nl-BE"/>
              </w:rPr>
            </w:pPr>
            <w:r w:rsidRPr="001D173E">
              <w:rPr>
                <w:rFonts w:ascii="Verdana" w:eastAsia="Times New Roman" w:hAnsi="Verdana" w:cs="Times New Roman"/>
                <w:color w:val="000000"/>
                <w:sz w:val="18"/>
                <w:szCs w:val="20"/>
                <w:lang w:val="nl-BE" w:eastAsia="nl-BE"/>
              </w:rPr>
              <w:t>All instruments</w:t>
            </w:r>
          </w:p>
        </w:tc>
        <w:tc>
          <w:tcPr>
            <w:tcW w:w="3876" w:type="dxa"/>
            <w:tcBorders>
              <w:top w:val="single" w:sz="4" w:space="0" w:color="auto"/>
              <w:left w:val="nil"/>
              <w:bottom w:val="single" w:sz="4" w:space="0" w:color="auto"/>
              <w:right w:val="single" w:sz="8" w:space="0" w:color="000000"/>
            </w:tcBorders>
            <w:shd w:val="clear" w:color="auto" w:fill="auto"/>
            <w:hideMark/>
          </w:tcPr>
          <w:p w:rsidR="00BF44DE" w:rsidRPr="001D173E" w:rsidRDefault="00BF44DE" w:rsidP="005D25E7">
            <w:pPr>
              <w:spacing w:after="0" w:line="240" w:lineRule="auto"/>
              <w:rPr>
                <w:rFonts w:ascii="Verdana" w:eastAsia="Times New Roman" w:hAnsi="Verdana" w:cs="Times New Roman"/>
                <w:color w:val="000000"/>
                <w:sz w:val="18"/>
                <w:szCs w:val="20"/>
                <w:lang w:eastAsia="nl-BE"/>
              </w:rPr>
            </w:pPr>
            <w:r w:rsidRPr="001D173E">
              <w:rPr>
                <w:rFonts w:ascii="Verdana" w:eastAsia="Times New Roman" w:hAnsi="Verdana" w:cs="Times New Roman"/>
                <w:color w:val="000000"/>
                <w:sz w:val="18"/>
                <w:szCs w:val="20"/>
                <w:lang w:eastAsia="nl-BE"/>
              </w:rPr>
              <w:t xml:space="preserve">The likelihood of execution and settlement is a preponderant factor for orders of significant size/less liquid. Therefore, if the execution venue/counterparty offering the best price can not ensure full order execution, the execution factor of price becomes secondary, while the execution factor of likelihood of execution and settlement becomes dominant. </w:t>
            </w:r>
          </w:p>
        </w:tc>
      </w:tr>
      <w:tr w:rsidR="00BF44DE" w:rsidRPr="001D173E" w:rsidTr="00BF44DE">
        <w:trPr>
          <w:trHeight w:val="684"/>
        </w:trPr>
        <w:tc>
          <w:tcPr>
            <w:tcW w:w="3318" w:type="dxa"/>
            <w:tcBorders>
              <w:top w:val="single" w:sz="4" w:space="0" w:color="auto"/>
              <w:left w:val="single" w:sz="8" w:space="0" w:color="auto"/>
              <w:bottom w:val="single" w:sz="4" w:space="0" w:color="auto"/>
              <w:right w:val="single" w:sz="4" w:space="0" w:color="auto"/>
            </w:tcBorders>
            <w:shd w:val="clear" w:color="auto" w:fill="auto"/>
            <w:hideMark/>
          </w:tcPr>
          <w:p w:rsidR="00BF44DE" w:rsidRPr="001D173E" w:rsidRDefault="00BF44DE" w:rsidP="005D25E7">
            <w:pPr>
              <w:spacing w:after="0" w:line="240" w:lineRule="auto"/>
              <w:rPr>
                <w:rFonts w:ascii="Verdana" w:eastAsia="Times New Roman" w:hAnsi="Verdana" w:cs="Times New Roman"/>
                <w:color w:val="000000"/>
                <w:sz w:val="18"/>
                <w:szCs w:val="20"/>
                <w:lang w:eastAsia="nl-BE"/>
              </w:rPr>
            </w:pPr>
            <w:r w:rsidRPr="001D173E">
              <w:rPr>
                <w:rFonts w:ascii="Verdana" w:eastAsia="Times New Roman" w:hAnsi="Verdana" w:cs="Times New Roman"/>
                <w:color w:val="000000"/>
                <w:sz w:val="18"/>
                <w:szCs w:val="20"/>
                <w:lang w:eastAsia="nl-BE"/>
              </w:rPr>
              <w:t>(g) an explanation of how the investment firm has used any data or tools relating to the quality of execution, including any data published under Commission Delegated Regulation (EU) …/…to be inserted before publication [RTS 27];</w:t>
            </w:r>
          </w:p>
        </w:tc>
        <w:tc>
          <w:tcPr>
            <w:tcW w:w="3318" w:type="dxa"/>
            <w:tcBorders>
              <w:top w:val="single" w:sz="4" w:space="0" w:color="auto"/>
              <w:left w:val="nil"/>
              <w:bottom w:val="single" w:sz="4" w:space="0" w:color="auto"/>
              <w:right w:val="single" w:sz="4" w:space="0" w:color="auto"/>
            </w:tcBorders>
            <w:shd w:val="clear" w:color="auto" w:fill="auto"/>
            <w:vAlign w:val="center"/>
            <w:hideMark/>
          </w:tcPr>
          <w:p w:rsidR="00BF44DE" w:rsidRPr="001D173E" w:rsidRDefault="00BF44DE" w:rsidP="005D25E7">
            <w:pPr>
              <w:spacing w:after="0" w:line="240" w:lineRule="auto"/>
              <w:jc w:val="center"/>
              <w:rPr>
                <w:rFonts w:ascii="Verdana" w:eastAsia="Times New Roman" w:hAnsi="Verdana" w:cs="Times New Roman"/>
                <w:color w:val="000000"/>
                <w:sz w:val="18"/>
                <w:szCs w:val="20"/>
                <w:lang w:val="nl-BE" w:eastAsia="nl-BE"/>
              </w:rPr>
            </w:pPr>
            <w:r w:rsidRPr="001D173E">
              <w:rPr>
                <w:rFonts w:ascii="Verdana" w:eastAsia="Times New Roman" w:hAnsi="Verdana" w:cs="Times New Roman"/>
                <w:color w:val="000000"/>
                <w:sz w:val="18"/>
                <w:szCs w:val="20"/>
                <w:lang w:val="nl-BE" w:eastAsia="nl-BE"/>
              </w:rPr>
              <w:t>All instruments</w:t>
            </w:r>
          </w:p>
        </w:tc>
        <w:tc>
          <w:tcPr>
            <w:tcW w:w="3876" w:type="dxa"/>
            <w:tcBorders>
              <w:top w:val="single" w:sz="4" w:space="0" w:color="auto"/>
              <w:left w:val="nil"/>
              <w:bottom w:val="single" w:sz="4" w:space="0" w:color="auto"/>
              <w:right w:val="single" w:sz="8" w:space="0" w:color="000000"/>
            </w:tcBorders>
            <w:shd w:val="clear" w:color="auto" w:fill="auto"/>
            <w:hideMark/>
          </w:tcPr>
          <w:p w:rsidR="00BF44DE" w:rsidRPr="001D173E" w:rsidRDefault="00BF44DE" w:rsidP="005D25E7">
            <w:pPr>
              <w:spacing w:after="0" w:line="240" w:lineRule="auto"/>
              <w:rPr>
                <w:rFonts w:ascii="Verdana" w:eastAsia="Times New Roman" w:hAnsi="Verdana" w:cs="Times New Roman"/>
                <w:color w:val="000000"/>
                <w:sz w:val="18"/>
                <w:szCs w:val="20"/>
                <w:lang w:eastAsia="nl-BE"/>
              </w:rPr>
            </w:pPr>
            <w:r w:rsidRPr="001D173E">
              <w:rPr>
                <w:rFonts w:ascii="Verdana" w:eastAsia="Times New Roman" w:hAnsi="Verdana" w:cs="Times New Roman"/>
                <w:color w:val="000000"/>
                <w:sz w:val="18"/>
                <w:szCs w:val="20"/>
                <w:lang w:eastAsia="nl-BE"/>
              </w:rPr>
              <w:t>CaW did not use data of tools relating to the quality of execution, including data published persuant to RTS 27.</w:t>
            </w:r>
          </w:p>
        </w:tc>
      </w:tr>
      <w:tr w:rsidR="00BF44DE" w:rsidRPr="001D173E" w:rsidTr="00BF44DE">
        <w:trPr>
          <w:trHeight w:val="527"/>
        </w:trPr>
        <w:tc>
          <w:tcPr>
            <w:tcW w:w="3318" w:type="dxa"/>
            <w:tcBorders>
              <w:top w:val="single" w:sz="4" w:space="0" w:color="auto"/>
              <w:left w:val="single" w:sz="8" w:space="0" w:color="auto"/>
              <w:bottom w:val="single" w:sz="8" w:space="0" w:color="auto"/>
              <w:right w:val="single" w:sz="4" w:space="0" w:color="auto"/>
            </w:tcBorders>
            <w:shd w:val="clear" w:color="auto" w:fill="auto"/>
            <w:hideMark/>
          </w:tcPr>
          <w:p w:rsidR="00BF44DE" w:rsidRPr="001D173E" w:rsidRDefault="00BF44DE" w:rsidP="005D25E7">
            <w:pPr>
              <w:spacing w:after="0" w:line="240" w:lineRule="auto"/>
              <w:rPr>
                <w:rFonts w:ascii="Verdana" w:eastAsia="Times New Roman" w:hAnsi="Verdana" w:cs="Times New Roman"/>
                <w:color w:val="000000"/>
                <w:sz w:val="18"/>
                <w:szCs w:val="20"/>
                <w:lang w:eastAsia="nl-BE"/>
              </w:rPr>
            </w:pPr>
            <w:r w:rsidRPr="001D173E">
              <w:rPr>
                <w:rFonts w:ascii="Verdana" w:eastAsia="Times New Roman" w:hAnsi="Verdana" w:cs="Times New Roman"/>
                <w:color w:val="000000"/>
                <w:sz w:val="18"/>
                <w:szCs w:val="20"/>
                <w:lang w:eastAsia="nl-BE"/>
              </w:rPr>
              <w:t>(h) where applicable, an explanation of how the investment firm has used output of a consolidated tape provider established under Article 65 of Directive 2014/65/EU.</w:t>
            </w:r>
          </w:p>
        </w:tc>
        <w:tc>
          <w:tcPr>
            <w:tcW w:w="3318" w:type="dxa"/>
            <w:tcBorders>
              <w:top w:val="single" w:sz="4" w:space="0" w:color="auto"/>
              <w:left w:val="nil"/>
              <w:bottom w:val="single" w:sz="4" w:space="0" w:color="auto"/>
              <w:right w:val="single" w:sz="4" w:space="0" w:color="auto"/>
            </w:tcBorders>
            <w:shd w:val="clear" w:color="auto" w:fill="auto"/>
            <w:vAlign w:val="center"/>
            <w:hideMark/>
          </w:tcPr>
          <w:p w:rsidR="00BF44DE" w:rsidRPr="001D173E" w:rsidRDefault="00BF44DE" w:rsidP="005D25E7">
            <w:pPr>
              <w:spacing w:after="0" w:line="240" w:lineRule="auto"/>
              <w:jc w:val="center"/>
              <w:rPr>
                <w:rFonts w:ascii="Verdana" w:eastAsia="Times New Roman" w:hAnsi="Verdana" w:cs="Times New Roman"/>
                <w:color w:val="000000"/>
                <w:sz w:val="18"/>
                <w:szCs w:val="20"/>
                <w:lang w:val="nl-BE" w:eastAsia="nl-BE"/>
              </w:rPr>
            </w:pPr>
            <w:r w:rsidRPr="001D173E">
              <w:rPr>
                <w:rFonts w:ascii="Verdana" w:eastAsia="Times New Roman" w:hAnsi="Verdana" w:cs="Times New Roman"/>
                <w:color w:val="000000"/>
                <w:sz w:val="18"/>
                <w:szCs w:val="20"/>
                <w:lang w:val="nl-BE" w:eastAsia="nl-BE"/>
              </w:rPr>
              <w:t>All instruments</w:t>
            </w:r>
          </w:p>
        </w:tc>
        <w:tc>
          <w:tcPr>
            <w:tcW w:w="3876" w:type="dxa"/>
            <w:tcBorders>
              <w:top w:val="single" w:sz="4" w:space="0" w:color="auto"/>
              <w:left w:val="nil"/>
              <w:bottom w:val="single" w:sz="8" w:space="0" w:color="auto"/>
              <w:right w:val="single" w:sz="8" w:space="0" w:color="000000"/>
            </w:tcBorders>
            <w:shd w:val="clear" w:color="auto" w:fill="auto"/>
            <w:noWrap/>
            <w:vAlign w:val="center"/>
            <w:hideMark/>
          </w:tcPr>
          <w:p w:rsidR="00BF44DE" w:rsidRPr="001D173E" w:rsidRDefault="00BF44DE" w:rsidP="005D25E7">
            <w:pPr>
              <w:spacing w:after="0" w:line="240" w:lineRule="auto"/>
              <w:jc w:val="center"/>
              <w:rPr>
                <w:rFonts w:ascii="Verdana" w:eastAsia="Times New Roman" w:hAnsi="Verdana" w:cs="Times New Roman"/>
                <w:color w:val="000000"/>
                <w:sz w:val="18"/>
                <w:szCs w:val="20"/>
                <w:lang w:val="nl-BE" w:eastAsia="nl-BE"/>
              </w:rPr>
            </w:pPr>
            <w:r w:rsidRPr="001D173E">
              <w:rPr>
                <w:rFonts w:ascii="Verdana" w:eastAsia="Times New Roman" w:hAnsi="Verdana" w:cs="Times New Roman"/>
                <w:color w:val="000000"/>
                <w:sz w:val="18"/>
                <w:szCs w:val="20"/>
                <w:lang w:val="nl-BE" w:eastAsia="nl-BE"/>
              </w:rPr>
              <w:t>N/A</w:t>
            </w:r>
          </w:p>
        </w:tc>
      </w:tr>
    </w:tbl>
    <w:p w:rsidR="00BF44DE" w:rsidRDefault="00BF44DE"/>
    <w:p w:rsidR="00BF44DE" w:rsidRDefault="00BF44DE">
      <w:bookmarkStart w:id="1" w:name="_GoBack"/>
      <w:bookmarkEnd w:id="1"/>
    </w:p>
    <w:sectPr w:rsidR="00BF44DE" w:rsidSect="00BF44DE">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741" w:rsidRDefault="00A61741" w:rsidP="00BF44DE">
      <w:pPr>
        <w:spacing w:after="0" w:line="240" w:lineRule="auto"/>
      </w:pPr>
      <w:r>
        <w:separator/>
      </w:r>
    </w:p>
  </w:endnote>
  <w:endnote w:type="continuationSeparator" w:id="0">
    <w:p w:rsidR="00A61741" w:rsidRDefault="00A61741" w:rsidP="00BF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741" w:rsidRDefault="00A61741" w:rsidP="00BF44DE">
      <w:pPr>
        <w:spacing w:after="0" w:line="240" w:lineRule="auto"/>
      </w:pPr>
      <w:r>
        <w:separator/>
      </w:r>
    </w:p>
  </w:footnote>
  <w:footnote w:type="continuationSeparator" w:id="0">
    <w:p w:rsidR="00A61741" w:rsidRDefault="00A61741" w:rsidP="00BF4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4DE" w:rsidRDefault="00BF44DE">
    <w:pPr>
      <w:pStyle w:val="En-tte"/>
    </w:pPr>
    <w:r w:rsidRPr="006156C3">
      <w:rPr>
        <w:noProof/>
        <w:lang w:val="nl-BE" w:eastAsia="nl-BE"/>
      </w:rPr>
      <w:drawing>
        <wp:inline distT="0" distB="0" distL="0" distR="0" wp14:anchorId="44ECCE57" wp14:editId="4BB4AD15">
          <wp:extent cx="2095500" cy="627271"/>
          <wp:effectExtent l="0" t="0" r="0" b="190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95500" cy="62727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4DE"/>
    <w:rsid w:val="007B64D8"/>
    <w:rsid w:val="00A61741"/>
    <w:rsid w:val="00A743C5"/>
    <w:rsid w:val="00B27234"/>
    <w:rsid w:val="00BF4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B0BE1-E195-4086-9F9E-C401FA5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F44D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F44DE"/>
    <w:pPr>
      <w:tabs>
        <w:tab w:val="center" w:pos="4513"/>
        <w:tab w:val="right" w:pos="9026"/>
      </w:tabs>
      <w:spacing w:after="0" w:line="240" w:lineRule="auto"/>
    </w:pPr>
  </w:style>
  <w:style w:type="character" w:customStyle="1" w:styleId="En-tteCar">
    <w:name w:val="En-tête Car"/>
    <w:basedOn w:val="Policepardfaut"/>
    <w:link w:val="En-tte"/>
    <w:uiPriority w:val="99"/>
    <w:rsid w:val="00BF44DE"/>
  </w:style>
  <w:style w:type="paragraph" w:styleId="Pieddepage">
    <w:name w:val="footer"/>
    <w:basedOn w:val="Normal"/>
    <w:link w:val="PieddepageCar"/>
    <w:uiPriority w:val="99"/>
    <w:unhideWhenUsed/>
    <w:rsid w:val="00BF44D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F4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11096">
      <w:bodyDiv w:val="1"/>
      <w:marLeft w:val="0"/>
      <w:marRight w:val="0"/>
      <w:marTop w:val="0"/>
      <w:marBottom w:val="0"/>
      <w:divBdr>
        <w:top w:val="none" w:sz="0" w:space="0" w:color="auto"/>
        <w:left w:val="none" w:sz="0" w:space="0" w:color="auto"/>
        <w:bottom w:val="none" w:sz="0" w:space="0" w:color="auto"/>
        <w:right w:val="none" w:sz="0" w:space="0" w:color="auto"/>
      </w:divBdr>
    </w:div>
    <w:div w:id="101145540">
      <w:bodyDiv w:val="1"/>
      <w:marLeft w:val="0"/>
      <w:marRight w:val="0"/>
      <w:marTop w:val="0"/>
      <w:marBottom w:val="0"/>
      <w:divBdr>
        <w:top w:val="none" w:sz="0" w:space="0" w:color="auto"/>
        <w:left w:val="none" w:sz="0" w:space="0" w:color="auto"/>
        <w:bottom w:val="none" w:sz="0" w:space="0" w:color="auto"/>
        <w:right w:val="none" w:sz="0" w:space="0" w:color="auto"/>
      </w:divBdr>
    </w:div>
    <w:div w:id="139543997">
      <w:bodyDiv w:val="1"/>
      <w:marLeft w:val="0"/>
      <w:marRight w:val="0"/>
      <w:marTop w:val="0"/>
      <w:marBottom w:val="0"/>
      <w:divBdr>
        <w:top w:val="none" w:sz="0" w:space="0" w:color="auto"/>
        <w:left w:val="none" w:sz="0" w:space="0" w:color="auto"/>
        <w:bottom w:val="none" w:sz="0" w:space="0" w:color="auto"/>
        <w:right w:val="none" w:sz="0" w:space="0" w:color="auto"/>
      </w:divBdr>
    </w:div>
    <w:div w:id="258105040">
      <w:bodyDiv w:val="1"/>
      <w:marLeft w:val="0"/>
      <w:marRight w:val="0"/>
      <w:marTop w:val="0"/>
      <w:marBottom w:val="0"/>
      <w:divBdr>
        <w:top w:val="none" w:sz="0" w:space="0" w:color="auto"/>
        <w:left w:val="none" w:sz="0" w:space="0" w:color="auto"/>
        <w:bottom w:val="none" w:sz="0" w:space="0" w:color="auto"/>
        <w:right w:val="none" w:sz="0" w:space="0" w:color="auto"/>
      </w:divBdr>
    </w:div>
    <w:div w:id="413281163">
      <w:bodyDiv w:val="1"/>
      <w:marLeft w:val="0"/>
      <w:marRight w:val="0"/>
      <w:marTop w:val="0"/>
      <w:marBottom w:val="0"/>
      <w:divBdr>
        <w:top w:val="none" w:sz="0" w:space="0" w:color="auto"/>
        <w:left w:val="none" w:sz="0" w:space="0" w:color="auto"/>
        <w:bottom w:val="none" w:sz="0" w:space="0" w:color="auto"/>
        <w:right w:val="none" w:sz="0" w:space="0" w:color="auto"/>
      </w:divBdr>
    </w:div>
    <w:div w:id="467824885">
      <w:bodyDiv w:val="1"/>
      <w:marLeft w:val="0"/>
      <w:marRight w:val="0"/>
      <w:marTop w:val="0"/>
      <w:marBottom w:val="0"/>
      <w:divBdr>
        <w:top w:val="none" w:sz="0" w:space="0" w:color="auto"/>
        <w:left w:val="none" w:sz="0" w:space="0" w:color="auto"/>
        <w:bottom w:val="none" w:sz="0" w:space="0" w:color="auto"/>
        <w:right w:val="none" w:sz="0" w:space="0" w:color="auto"/>
      </w:divBdr>
    </w:div>
    <w:div w:id="566377536">
      <w:bodyDiv w:val="1"/>
      <w:marLeft w:val="0"/>
      <w:marRight w:val="0"/>
      <w:marTop w:val="0"/>
      <w:marBottom w:val="0"/>
      <w:divBdr>
        <w:top w:val="none" w:sz="0" w:space="0" w:color="auto"/>
        <w:left w:val="none" w:sz="0" w:space="0" w:color="auto"/>
        <w:bottom w:val="none" w:sz="0" w:space="0" w:color="auto"/>
        <w:right w:val="none" w:sz="0" w:space="0" w:color="auto"/>
      </w:divBdr>
    </w:div>
    <w:div w:id="814178080">
      <w:bodyDiv w:val="1"/>
      <w:marLeft w:val="0"/>
      <w:marRight w:val="0"/>
      <w:marTop w:val="0"/>
      <w:marBottom w:val="0"/>
      <w:divBdr>
        <w:top w:val="none" w:sz="0" w:space="0" w:color="auto"/>
        <w:left w:val="none" w:sz="0" w:space="0" w:color="auto"/>
        <w:bottom w:val="none" w:sz="0" w:space="0" w:color="auto"/>
        <w:right w:val="none" w:sz="0" w:space="0" w:color="auto"/>
      </w:divBdr>
    </w:div>
    <w:div w:id="1031688923">
      <w:bodyDiv w:val="1"/>
      <w:marLeft w:val="0"/>
      <w:marRight w:val="0"/>
      <w:marTop w:val="0"/>
      <w:marBottom w:val="0"/>
      <w:divBdr>
        <w:top w:val="none" w:sz="0" w:space="0" w:color="auto"/>
        <w:left w:val="none" w:sz="0" w:space="0" w:color="auto"/>
        <w:bottom w:val="none" w:sz="0" w:space="0" w:color="auto"/>
        <w:right w:val="none" w:sz="0" w:space="0" w:color="auto"/>
      </w:divBdr>
    </w:div>
    <w:div w:id="1056778921">
      <w:bodyDiv w:val="1"/>
      <w:marLeft w:val="0"/>
      <w:marRight w:val="0"/>
      <w:marTop w:val="0"/>
      <w:marBottom w:val="0"/>
      <w:divBdr>
        <w:top w:val="none" w:sz="0" w:space="0" w:color="auto"/>
        <w:left w:val="none" w:sz="0" w:space="0" w:color="auto"/>
        <w:bottom w:val="none" w:sz="0" w:space="0" w:color="auto"/>
        <w:right w:val="none" w:sz="0" w:space="0" w:color="auto"/>
      </w:divBdr>
    </w:div>
    <w:div w:id="1103915214">
      <w:bodyDiv w:val="1"/>
      <w:marLeft w:val="0"/>
      <w:marRight w:val="0"/>
      <w:marTop w:val="0"/>
      <w:marBottom w:val="0"/>
      <w:divBdr>
        <w:top w:val="none" w:sz="0" w:space="0" w:color="auto"/>
        <w:left w:val="none" w:sz="0" w:space="0" w:color="auto"/>
        <w:bottom w:val="none" w:sz="0" w:space="0" w:color="auto"/>
        <w:right w:val="none" w:sz="0" w:space="0" w:color="auto"/>
      </w:divBdr>
    </w:div>
    <w:div w:id="1157890078">
      <w:bodyDiv w:val="1"/>
      <w:marLeft w:val="0"/>
      <w:marRight w:val="0"/>
      <w:marTop w:val="0"/>
      <w:marBottom w:val="0"/>
      <w:divBdr>
        <w:top w:val="none" w:sz="0" w:space="0" w:color="auto"/>
        <w:left w:val="none" w:sz="0" w:space="0" w:color="auto"/>
        <w:bottom w:val="none" w:sz="0" w:space="0" w:color="auto"/>
        <w:right w:val="none" w:sz="0" w:space="0" w:color="auto"/>
      </w:divBdr>
    </w:div>
    <w:div w:id="1163348680">
      <w:bodyDiv w:val="1"/>
      <w:marLeft w:val="0"/>
      <w:marRight w:val="0"/>
      <w:marTop w:val="0"/>
      <w:marBottom w:val="0"/>
      <w:divBdr>
        <w:top w:val="none" w:sz="0" w:space="0" w:color="auto"/>
        <w:left w:val="none" w:sz="0" w:space="0" w:color="auto"/>
        <w:bottom w:val="none" w:sz="0" w:space="0" w:color="auto"/>
        <w:right w:val="none" w:sz="0" w:space="0" w:color="auto"/>
      </w:divBdr>
    </w:div>
    <w:div w:id="1387337702">
      <w:bodyDiv w:val="1"/>
      <w:marLeft w:val="0"/>
      <w:marRight w:val="0"/>
      <w:marTop w:val="0"/>
      <w:marBottom w:val="0"/>
      <w:divBdr>
        <w:top w:val="none" w:sz="0" w:space="0" w:color="auto"/>
        <w:left w:val="none" w:sz="0" w:space="0" w:color="auto"/>
        <w:bottom w:val="none" w:sz="0" w:space="0" w:color="auto"/>
        <w:right w:val="none" w:sz="0" w:space="0" w:color="auto"/>
      </w:divBdr>
    </w:div>
    <w:div w:id="1418330445">
      <w:bodyDiv w:val="1"/>
      <w:marLeft w:val="0"/>
      <w:marRight w:val="0"/>
      <w:marTop w:val="0"/>
      <w:marBottom w:val="0"/>
      <w:divBdr>
        <w:top w:val="none" w:sz="0" w:space="0" w:color="auto"/>
        <w:left w:val="none" w:sz="0" w:space="0" w:color="auto"/>
        <w:bottom w:val="none" w:sz="0" w:space="0" w:color="auto"/>
        <w:right w:val="none" w:sz="0" w:space="0" w:color="auto"/>
      </w:divBdr>
    </w:div>
    <w:div w:id="1508210194">
      <w:bodyDiv w:val="1"/>
      <w:marLeft w:val="0"/>
      <w:marRight w:val="0"/>
      <w:marTop w:val="0"/>
      <w:marBottom w:val="0"/>
      <w:divBdr>
        <w:top w:val="none" w:sz="0" w:space="0" w:color="auto"/>
        <w:left w:val="none" w:sz="0" w:space="0" w:color="auto"/>
        <w:bottom w:val="none" w:sz="0" w:space="0" w:color="auto"/>
        <w:right w:val="none" w:sz="0" w:space="0" w:color="auto"/>
      </w:divBdr>
    </w:div>
    <w:div w:id="1526364897">
      <w:bodyDiv w:val="1"/>
      <w:marLeft w:val="0"/>
      <w:marRight w:val="0"/>
      <w:marTop w:val="0"/>
      <w:marBottom w:val="0"/>
      <w:divBdr>
        <w:top w:val="none" w:sz="0" w:space="0" w:color="auto"/>
        <w:left w:val="none" w:sz="0" w:space="0" w:color="auto"/>
        <w:bottom w:val="none" w:sz="0" w:space="0" w:color="auto"/>
        <w:right w:val="none" w:sz="0" w:space="0" w:color="auto"/>
      </w:divBdr>
    </w:div>
    <w:div w:id="1559196658">
      <w:bodyDiv w:val="1"/>
      <w:marLeft w:val="0"/>
      <w:marRight w:val="0"/>
      <w:marTop w:val="0"/>
      <w:marBottom w:val="0"/>
      <w:divBdr>
        <w:top w:val="none" w:sz="0" w:space="0" w:color="auto"/>
        <w:left w:val="none" w:sz="0" w:space="0" w:color="auto"/>
        <w:bottom w:val="none" w:sz="0" w:space="0" w:color="auto"/>
        <w:right w:val="none" w:sz="0" w:space="0" w:color="auto"/>
      </w:divBdr>
    </w:div>
    <w:div w:id="1627811071">
      <w:bodyDiv w:val="1"/>
      <w:marLeft w:val="0"/>
      <w:marRight w:val="0"/>
      <w:marTop w:val="0"/>
      <w:marBottom w:val="0"/>
      <w:divBdr>
        <w:top w:val="none" w:sz="0" w:space="0" w:color="auto"/>
        <w:left w:val="none" w:sz="0" w:space="0" w:color="auto"/>
        <w:bottom w:val="none" w:sz="0" w:space="0" w:color="auto"/>
        <w:right w:val="none" w:sz="0" w:space="0" w:color="auto"/>
      </w:divBdr>
    </w:div>
    <w:div w:id="1785154219">
      <w:bodyDiv w:val="1"/>
      <w:marLeft w:val="0"/>
      <w:marRight w:val="0"/>
      <w:marTop w:val="0"/>
      <w:marBottom w:val="0"/>
      <w:divBdr>
        <w:top w:val="none" w:sz="0" w:space="0" w:color="auto"/>
        <w:left w:val="none" w:sz="0" w:space="0" w:color="auto"/>
        <w:bottom w:val="none" w:sz="0" w:space="0" w:color="auto"/>
        <w:right w:val="none" w:sz="0" w:space="0" w:color="auto"/>
      </w:divBdr>
    </w:div>
    <w:div w:id="1894347631">
      <w:bodyDiv w:val="1"/>
      <w:marLeft w:val="0"/>
      <w:marRight w:val="0"/>
      <w:marTop w:val="0"/>
      <w:marBottom w:val="0"/>
      <w:divBdr>
        <w:top w:val="none" w:sz="0" w:space="0" w:color="auto"/>
        <w:left w:val="none" w:sz="0" w:space="0" w:color="auto"/>
        <w:bottom w:val="none" w:sz="0" w:space="0" w:color="auto"/>
        <w:right w:val="none" w:sz="0" w:space="0" w:color="auto"/>
      </w:divBdr>
    </w:div>
    <w:div w:id="1902715673">
      <w:bodyDiv w:val="1"/>
      <w:marLeft w:val="0"/>
      <w:marRight w:val="0"/>
      <w:marTop w:val="0"/>
      <w:marBottom w:val="0"/>
      <w:divBdr>
        <w:top w:val="none" w:sz="0" w:space="0" w:color="auto"/>
        <w:left w:val="none" w:sz="0" w:space="0" w:color="auto"/>
        <w:bottom w:val="none" w:sz="0" w:space="0" w:color="auto"/>
        <w:right w:val="none" w:sz="0" w:space="0" w:color="auto"/>
      </w:divBdr>
    </w:div>
    <w:div w:id="207527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1525</Words>
  <Characters>8389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Foyer Assurances</Company>
  <LinksUpToDate>false</LinksUpToDate>
  <CharactersWithSpaces>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2</cp:revision>
  <cp:lastPrinted>2019-04-30T13:24:00Z</cp:lastPrinted>
  <dcterms:created xsi:type="dcterms:W3CDTF">2019-04-30T14:34:00Z</dcterms:created>
  <dcterms:modified xsi:type="dcterms:W3CDTF">2019-04-30T14:34:00Z</dcterms:modified>
</cp:coreProperties>
</file>