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B23B" w14:textId="77777777" w:rsidR="0082191C" w:rsidRDefault="0082191C" w:rsidP="00EF0BDA">
      <w:pPr>
        <w:pStyle w:val="BodyText1"/>
      </w:pPr>
    </w:p>
    <w:p w14:paraId="0A5B3F41" w14:textId="77777777" w:rsidR="0082191C" w:rsidRPr="008E6054" w:rsidRDefault="0082191C" w:rsidP="007E7755">
      <w:pPr>
        <w:pStyle w:val="BodyText1"/>
      </w:pPr>
    </w:p>
    <w:p w14:paraId="69964E78" w14:textId="77777777" w:rsidR="0082191C" w:rsidRPr="008E6054" w:rsidRDefault="0082191C">
      <w:pPr>
        <w:pStyle w:val="BodyText1"/>
      </w:pPr>
    </w:p>
    <w:p w14:paraId="464D31BA" w14:textId="77777777" w:rsidR="0082191C" w:rsidRPr="008E6054" w:rsidRDefault="0082191C">
      <w:pPr>
        <w:pStyle w:val="BodyText1"/>
      </w:pPr>
    </w:p>
    <w:p w14:paraId="1A798823" w14:textId="77777777" w:rsidR="0082191C" w:rsidRPr="0019485F" w:rsidRDefault="0082191C">
      <w:pPr>
        <w:pStyle w:val="BodyText1"/>
        <w:rPr>
          <w:color w:val="6CACE4"/>
        </w:rPr>
      </w:pPr>
    </w:p>
    <w:p w14:paraId="6F58E04E" w14:textId="77777777" w:rsidR="0019485F" w:rsidRDefault="0019485F" w:rsidP="00883CEA">
      <w:pPr>
        <w:pStyle w:val="Title"/>
        <w:jc w:val="center"/>
        <w:rPr>
          <w:rFonts w:ascii="Verdana" w:hAnsi="Verdana"/>
          <w:color w:val="6CACE4"/>
          <w:sz w:val="56"/>
          <w:szCs w:val="56"/>
        </w:rPr>
      </w:pPr>
    </w:p>
    <w:p w14:paraId="4610FF16" w14:textId="77777777" w:rsidR="0019485F" w:rsidRDefault="0019485F" w:rsidP="00883CEA">
      <w:pPr>
        <w:pStyle w:val="Title"/>
        <w:jc w:val="center"/>
        <w:rPr>
          <w:rFonts w:ascii="Verdana" w:hAnsi="Verdana"/>
          <w:color w:val="6CACE4"/>
          <w:sz w:val="56"/>
          <w:szCs w:val="56"/>
        </w:rPr>
      </w:pPr>
    </w:p>
    <w:p w14:paraId="436858D8" w14:textId="77777777" w:rsidR="0082191C" w:rsidRPr="00C92E51" w:rsidRDefault="0082191C" w:rsidP="00883CEA">
      <w:pPr>
        <w:pStyle w:val="Title"/>
        <w:jc w:val="center"/>
        <w:rPr>
          <w:rFonts w:ascii="Verdana" w:hAnsi="Verdana"/>
          <w:color w:val="6CACE4"/>
        </w:rPr>
      </w:pPr>
      <w:r w:rsidRPr="00C92E51">
        <w:rPr>
          <w:rFonts w:ascii="Verdana" w:hAnsi="Verdana"/>
          <w:color w:val="6CACE4"/>
        </w:rPr>
        <w:t>Pillar III Report</w:t>
      </w:r>
    </w:p>
    <w:p w14:paraId="15251DCE" w14:textId="77777777" w:rsidR="0082191C" w:rsidRDefault="0082191C" w:rsidP="00883CEA">
      <w:pPr>
        <w:pStyle w:val="Title"/>
        <w:jc w:val="center"/>
        <w:rPr>
          <w:rFonts w:ascii="Verdana" w:hAnsi="Verdana"/>
          <w:color w:val="6CACE4"/>
          <w:sz w:val="56"/>
          <w:szCs w:val="56"/>
        </w:rPr>
      </w:pPr>
    </w:p>
    <w:p w14:paraId="1516C5C3" w14:textId="77777777" w:rsidR="0019485F" w:rsidRPr="0019485F" w:rsidRDefault="0019485F" w:rsidP="0019485F"/>
    <w:p w14:paraId="4BF51850" w14:textId="521B2F4B" w:rsidR="0082191C" w:rsidRPr="0019485F" w:rsidRDefault="0082191C" w:rsidP="00883CEA">
      <w:pPr>
        <w:pStyle w:val="Title"/>
        <w:jc w:val="center"/>
        <w:rPr>
          <w:rFonts w:ascii="Verdana" w:hAnsi="Verdana"/>
          <w:color w:val="6CACE4"/>
          <w:sz w:val="40"/>
          <w:szCs w:val="40"/>
        </w:rPr>
      </w:pPr>
      <w:r w:rsidRPr="0019485F">
        <w:rPr>
          <w:rFonts w:ascii="Verdana" w:hAnsi="Verdana"/>
          <w:color w:val="6CACE4"/>
          <w:sz w:val="40"/>
          <w:szCs w:val="40"/>
        </w:rPr>
        <w:t>For</w:t>
      </w:r>
      <w:r w:rsidR="00EE3D3D">
        <w:rPr>
          <w:rFonts w:ascii="Verdana" w:hAnsi="Verdana"/>
          <w:color w:val="6CACE4"/>
          <w:sz w:val="40"/>
          <w:szCs w:val="40"/>
        </w:rPr>
        <w:t xml:space="preserve"> the Year Ended 31 December 2019</w:t>
      </w:r>
    </w:p>
    <w:p w14:paraId="14B2A2E9" w14:textId="77777777" w:rsidR="0082191C" w:rsidRDefault="0082191C" w:rsidP="00883CEA">
      <w:pPr>
        <w:pStyle w:val="Title"/>
        <w:jc w:val="center"/>
        <w:rPr>
          <w:rFonts w:ascii="Verdana" w:hAnsi="Verdana"/>
          <w:color w:val="6CACE4"/>
          <w:sz w:val="40"/>
          <w:szCs w:val="40"/>
        </w:rPr>
      </w:pPr>
    </w:p>
    <w:p w14:paraId="25AD8A5B" w14:textId="77777777" w:rsidR="0019485F" w:rsidRPr="0019485F" w:rsidRDefault="0019485F" w:rsidP="0019485F"/>
    <w:p w14:paraId="0E50BC0E" w14:textId="08DBB773" w:rsidR="009143B2" w:rsidRPr="0019485F" w:rsidRDefault="0082191C" w:rsidP="0019485F">
      <w:pPr>
        <w:pStyle w:val="Title"/>
        <w:jc w:val="center"/>
        <w:rPr>
          <w:rFonts w:ascii="Verdana" w:hAnsi="Verdana"/>
          <w:color w:val="6CACE4"/>
          <w:sz w:val="40"/>
          <w:szCs w:val="40"/>
        </w:rPr>
      </w:pPr>
      <w:r w:rsidRPr="0019485F">
        <w:rPr>
          <w:rFonts w:ascii="Verdana" w:hAnsi="Verdana"/>
          <w:color w:val="6CACE4"/>
          <w:sz w:val="40"/>
          <w:szCs w:val="40"/>
        </w:rPr>
        <w:t>CapitalatWork</w:t>
      </w:r>
      <w:r w:rsidR="0019485F">
        <w:rPr>
          <w:rFonts w:ascii="Verdana" w:hAnsi="Verdana"/>
          <w:color w:val="6CACE4"/>
          <w:sz w:val="40"/>
          <w:szCs w:val="40"/>
        </w:rPr>
        <w:t xml:space="preserve"> </w:t>
      </w:r>
      <w:r w:rsidR="009143B2" w:rsidRPr="0019485F">
        <w:rPr>
          <w:rFonts w:ascii="Verdana" w:hAnsi="Verdana"/>
          <w:color w:val="6CACE4"/>
          <w:sz w:val="40"/>
          <w:szCs w:val="40"/>
        </w:rPr>
        <w:t>Foyer Group S.A.</w:t>
      </w:r>
    </w:p>
    <w:p w14:paraId="58760B91" w14:textId="7E7B2800" w:rsidR="00390B3E" w:rsidRPr="0019485F" w:rsidRDefault="00390B3E" w:rsidP="00883CEA">
      <w:pPr>
        <w:pStyle w:val="BodyText1"/>
        <w:jc w:val="center"/>
        <w:rPr>
          <w:rFonts w:ascii="Verdana" w:hAnsi="Verdana"/>
          <w:color w:val="0070C0"/>
        </w:rPr>
      </w:pPr>
    </w:p>
    <w:p w14:paraId="55BA96E3" w14:textId="2CF62B3F" w:rsidR="00390B3E" w:rsidRPr="0019485F" w:rsidRDefault="00390B3E" w:rsidP="00883CEA">
      <w:pPr>
        <w:pStyle w:val="BodyText1"/>
        <w:jc w:val="center"/>
        <w:rPr>
          <w:rFonts w:ascii="Verdana" w:hAnsi="Verdana"/>
        </w:rPr>
      </w:pPr>
    </w:p>
    <w:p w14:paraId="7AE5C9BA" w14:textId="3CF7073F" w:rsidR="00390B3E" w:rsidRPr="0019485F" w:rsidRDefault="00390B3E">
      <w:pPr>
        <w:pStyle w:val="BodyText1"/>
        <w:rPr>
          <w:rFonts w:ascii="Verdana" w:hAnsi="Verdana"/>
        </w:rPr>
      </w:pPr>
    </w:p>
    <w:p w14:paraId="6BDDDE1E" w14:textId="6CE2936B" w:rsidR="00390B3E" w:rsidRPr="0019485F" w:rsidRDefault="00390B3E">
      <w:pPr>
        <w:pStyle w:val="BodyText1"/>
        <w:rPr>
          <w:rFonts w:ascii="Verdana" w:hAnsi="Verdana"/>
        </w:rPr>
      </w:pPr>
    </w:p>
    <w:p w14:paraId="408FCABD" w14:textId="13356E75" w:rsidR="00390B3E" w:rsidRPr="0019485F" w:rsidRDefault="00390B3E">
      <w:pPr>
        <w:pStyle w:val="BodyText1"/>
        <w:rPr>
          <w:rFonts w:ascii="Verdana" w:hAnsi="Verdana"/>
        </w:rPr>
      </w:pPr>
    </w:p>
    <w:p w14:paraId="2B1C37CC" w14:textId="77777777" w:rsidR="0082191C" w:rsidRPr="0019485F" w:rsidRDefault="0082191C">
      <w:pPr>
        <w:pStyle w:val="BodyText1"/>
        <w:rPr>
          <w:rFonts w:ascii="Verdana" w:hAnsi="Verdana"/>
        </w:rPr>
      </w:pPr>
    </w:p>
    <w:p w14:paraId="74956645" w14:textId="77777777" w:rsidR="0082191C" w:rsidRPr="0019485F" w:rsidRDefault="0082191C">
      <w:pPr>
        <w:pStyle w:val="BodyText1"/>
        <w:rPr>
          <w:rFonts w:ascii="Verdana" w:hAnsi="Verdana"/>
        </w:rPr>
      </w:pPr>
    </w:p>
    <w:p w14:paraId="22816B1E" w14:textId="77777777" w:rsidR="0082191C" w:rsidRPr="0019485F" w:rsidRDefault="0082191C">
      <w:pPr>
        <w:pStyle w:val="BodyText1"/>
        <w:rPr>
          <w:rFonts w:ascii="Verdana" w:hAnsi="Verdana"/>
        </w:rPr>
      </w:pPr>
    </w:p>
    <w:p w14:paraId="59F70FB9" w14:textId="77777777" w:rsidR="0082191C" w:rsidRPr="0019485F" w:rsidRDefault="0082191C" w:rsidP="007E7755">
      <w:pPr>
        <w:pStyle w:val="Explain1"/>
        <w:rPr>
          <w:rFonts w:ascii="Verdana" w:hAnsi="Verdana"/>
        </w:rPr>
      </w:pPr>
    </w:p>
    <w:p w14:paraId="3D37F7A8" w14:textId="77777777" w:rsidR="0082191C" w:rsidRPr="0019485F" w:rsidRDefault="0082191C">
      <w:pPr>
        <w:pStyle w:val="Explain1"/>
        <w:rPr>
          <w:rFonts w:ascii="Verdana" w:hAnsi="Verdana"/>
        </w:rPr>
      </w:pPr>
    </w:p>
    <w:p w14:paraId="2724AE17" w14:textId="77777777" w:rsidR="0082191C" w:rsidRPr="0019485F" w:rsidRDefault="0082191C">
      <w:pPr>
        <w:pStyle w:val="Explain1"/>
        <w:rPr>
          <w:rFonts w:ascii="Verdana" w:hAnsi="Verdana"/>
        </w:rPr>
      </w:pPr>
    </w:p>
    <w:p w14:paraId="45377BD3" w14:textId="77777777" w:rsidR="0082191C" w:rsidRPr="0019485F" w:rsidRDefault="0082191C">
      <w:pPr>
        <w:pStyle w:val="Explain1"/>
        <w:rPr>
          <w:rFonts w:ascii="Verdana" w:hAnsi="Verdana"/>
        </w:rPr>
      </w:pPr>
    </w:p>
    <w:p w14:paraId="7CD3D26D" w14:textId="77777777" w:rsidR="0019485F" w:rsidRDefault="0019485F" w:rsidP="007E7755">
      <w:pPr>
        <w:pStyle w:val="BodyText1"/>
        <w:rPr>
          <w:rFonts w:ascii="Verdana" w:hAnsi="Verdana"/>
        </w:rPr>
      </w:pPr>
    </w:p>
    <w:p w14:paraId="25075A61" w14:textId="77777777" w:rsidR="0019485F" w:rsidRDefault="0019485F" w:rsidP="007E7755">
      <w:pPr>
        <w:pStyle w:val="BodyText1"/>
        <w:rPr>
          <w:rFonts w:ascii="Verdana" w:hAnsi="Verdana"/>
        </w:rPr>
      </w:pPr>
    </w:p>
    <w:p w14:paraId="2622FFF3" w14:textId="77777777" w:rsidR="0019485F" w:rsidRDefault="0019485F" w:rsidP="007E7755">
      <w:pPr>
        <w:pStyle w:val="BodyText1"/>
        <w:rPr>
          <w:rFonts w:ascii="Verdana" w:hAnsi="Verdana"/>
        </w:rPr>
      </w:pPr>
    </w:p>
    <w:p w14:paraId="27C1D669" w14:textId="77777777" w:rsidR="0019485F" w:rsidRDefault="0019485F" w:rsidP="007E7755">
      <w:pPr>
        <w:pStyle w:val="BodyText1"/>
        <w:rPr>
          <w:rFonts w:ascii="Verdana" w:hAnsi="Verdana"/>
        </w:rPr>
      </w:pPr>
    </w:p>
    <w:p w14:paraId="164374E8" w14:textId="77777777" w:rsidR="0019485F" w:rsidRDefault="0019485F" w:rsidP="007E7755">
      <w:pPr>
        <w:pStyle w:val="BodyText1"/>
        <w:rPr>
          <w:rFonts w:ascii="Verdana" w:hAnsi="Verdana"/>
        </w:rPr>
      </w:pPr>
    </w:p>
    <w:p w14:paraId="70197976" w14:textId="77777777" w:rsidR="0019485F" w:rsidRDefault="0019485F" w:rsidP="007E7755">
      <w:pPr>
        <w:pStyle w:val="BodyText1"/>
        <w:rPr>
          <w:rFonts w:ascii="Verdana" w:hAnsi="Verdana"/>
        </w:rPr>
      </w:pPr>
    </w:p>
    <w:p w14:paraId="653C9FDF" w14:textId="77777777" w:rsidR="0019485F" w:rsidRDefault="0019485F" w:rsidP="007E7755">
      <w:pPr>
        <w:pStyle w:val="BodyText1"/>
        <w:rPr>
          <w:rFonts w:ascii="Verdana" w:hAnsi="Verdana"/>
        </w:rPr>
      </w:pPr>
    </w:p>
    <w:p w14:paraId="3DA1C7B9" w14:textId="77777777" w:rsidR="0019485F" w:rsidRPr="0019485F" w:rsidRDefault="0019485F" w:rsidP="007E7755">
      <w:pPr>
        <w:pStyle w:val="BodyText1"/>
        <w:rPr>
          <w:rFonts w:ascii="Verdana" w:hAnsi="Verdana"/>
        </w:rPr>
      </w:pPr>
    </w:p>
    <w:p w14:paraId="5776DF0B" w14:textId="02BD92FD" w:rsidR="0082191C" w:rsidRPr="0019485F" w:rsidRDefault="0082191C" w:rsidP="0019485F">
      <w:pPr>
        <w:pStyle w:val="BodyText1"/>
        <w:jc w:val="right"/>
        <w:rPr>
          <w:rFonts w:ascii="Verdana" w:hAnsi="Verdana"/>
          <w:sz w:val="20"/>
          <w:szCs w:val="20"/>
          <w:lang w:val="fr-CH"/>
        </w:rPr>
      </w:pPr>
      <w:r w:rsidRPr="0019485F">
        <w:rPr>
          <w:rFonts w:ascii="Verdana" w:hAnsi="Verdana"/>
          <w:sz w:val="20"/>
          <w:szCs w:val="20"/>
          <w:lang w:val="fr-CH"/>
        </w:rPr>
        <w:t>Capital</w:t>
      </w:r>
      <w:r w:rsidR="0019485F" w:rsidRPr="0019485F">
        <w:rPr>
          <w:rFonts w:ascii="Verdana" w:hAnsi="Verdana"/>
          <w:sz w:val="20"/>
          <w:szCs w:val="20"/>
          <w:lang w:val="fr-CH"/>
        </w:rPr>
        <w:t>at</w:t>
      </w:r>
      <w:r w:rsidRPr="0019485F">
        <w:rPr>
          <w:rFonts w:ascii="Verdana" w:hAnsi="Verdana"/>
          <w:sz w:val="20"/>
          <w:szCs w:val="20"/>
          <w:lang w:val="fr-CH"/>
        </w:rPr>
        <w:t>Work</w:t>
      </w:r>
      <w:r w:rsidR="00083346" w:rsidRPr="0019485F">
        <w:rPr>
          <w:rFonts w:ascii="Verdana" w:hAnsi="Verdana"/>
          <w:sz w:val="20"/>
          <w:szCs w:val="20"/>
          <w:lang w:val="fr-CH"/>
        </w:rPr>
        <w:t xml:space="preserve"> Foyer Group SA </w:t>
      </w:r>
    </w:p>
    <w:p w14:paraId="6731B2AE" w14:textId="77777777" w:rsidR="0082191C" w:rsidRPr="0019485F" w:rsidRDefault="0082191C" w:rsidP="0019485F">
      <w:pPr>
        <w:pStyle w:val="BodyText1"/>
        <w:jc w:val="right"/>
        <w:rPr>
          <w:rFonts w:ascii="Verdana" w:hAnsi="Verdana"/>
          <w:sz w:val="20"/>
          <w:szCs w:val="20"/>
          <w:lang w:val="fr-CH"/>
        </w:rPr>
      </w:pPr>
      <w:r w:rsidRPr="0019485F">
        <w:rPr>
          <w:rFonts w:ascii="Verdana" w:hAnsi="Verdana"/>
          <w:sz w:val="20"/>
          <w:szCs w:val="20"/>
          <w:lang w:val="fr-CH"/>
        </w:rPr>
        <w:t>12, rue Léon Laval</w:t>
      </w:r>
    </w:p>
    <w:p w14:paraId="78A099D2" w14:textId="6EB30B3B" w:rsidR="0082191C" w:rsidRPr="0019485F" w:rsidRDefault="0019485F" w:rsidP="0019485F">
      <w:pPr>
        <w:pStyle w:val="BodyText1"/>
        <w:jc w:val="right"/>
        <w:rPr>
          <w:rFonts w:ascii="Verdana" w:hAnsi="Verdana"/>
          <w:sz w:val="20"/>
          <w:szCs w:val="20"/>
          <w:lang w:val="fr-CH"/>
        </w:rPr>
      </w:pPr>
      <w:r w:rsidRPr="0019485F">
        <w:rPr>
          <w:rFonts w:ascii="Verdana" w:hAnsi="Verdana"/>
          <w:sz w:val="20"/>
          <w:szCs w:val="20"/>
          <w:lang w:val="fr-CH"/>
        </w:rPr>
        <w:tab/>
      </w:r>
      <w:r w:rsidRPr="0019485F">
        <w:rPr>
          <w:rFonts w:ascii="Verdana" w:hAnsi="Verdana"/>
          <w:sz w:val="20"/>
          <w:szCs w:val="20"/>
          <w:lang w:val="fr-CH"/>
        </w:rPr>
        <w:tab/>
      </w:r>
      <w:r w:rsidRPr="0019485F">
        <w:rPr>
          <w:rFonts w:ascii="Verdana" w:hAnsi="Verdana"/>
          <w:sz w:val="20"/>
          <w:szCs w:val="20"/>
          <w:lang w:val="fr-CH"/>
        </w:rPr>
        <w:tab/>
      </w:r>
      <w:r w:rsidRPr="0019485F">
        <w:rPr>
          <w:rFonts w:ascii="Verdana" w:hAnsi="Verdana"/>
          <w:sz w:val="20"/>
          <w:szCs w:val="20"/>
          <w:lang w:val="fr-CH"/>
        </w:rPr>
        <w:tab/>
        <w:t xml:space="preserve">                                                               </w:t>
      </w:r>
      <w:r>
        <w:rPr>
          <w:rFonts w:ascii="Verdana" w:hAnsi="Verdana"/>
          <w:sz w:val="20"/>
          <w:szCs w:val="20"/>
          <w:lang w:val="fr-CH"/>
        </w:rPr>
        <w:t xml:space="preserve"> </w:t>
      </w:r>
      <w:r w:rsidR="0082191C" w:rsidRPr="0019485F">
        <w:rPr>
          <w:rFonts w:ascii="Verdana" w:hAnsi="Verdana"/>
          <w:sz w:val="20"/>
          <w:szCs w:val="20"/>
          <w:lang w:val="fr-CH"/>
        </w:rPr>
        <w:t>L-3372 LEUDELANGE</w:t>
      </w:r>
    </w:p>
    <w:p w14:paraId="3D13CE3A" w14:textId="65C2CA32" w:rsidR="005023AF" w:rsidRPr="0019485F" w:rsidRDefault="0019485F" w:rsidP="0019485F">
      <w:pPr>
        <w:pStyle w:val="BodyText1"/>
        <w:jc w:val="right"/>
        <w:rPr>
          <w:rFonts w:ascii="Verdana" w:hAnsi="Verdana"/>
          <w:sz w:val="20"/>
          <w:szCs w:val="20"/>
          <w:lang w:val="fr-LU"/>
        </w:rPr>
      </w:pPr>
      <w:r w:rsidRPr="0019485F">
        <w:rPr>
          <w:rFonts w:ascii="Verdana" w:hAnsi="Verdana"/>
          <w:sz w:val="20"/>
          <w:szCs w:val="20"/>
          <w:lang w:val="fr-LU"/>
        </w:rPr>
        <w:tab/>
      </w:r>
      <w:r w:rsidRPr="0019485F">
        <w:rPr>
          <w:rFonts w:ascii="Verdana" w:hAnsi="Verdana"/>
          <w:sz w:val="20"/>
          <w:szCs w:val="20"/>
          <w:lang w:val="fr-LU"/>
        </w:rPr>
        <w:tab/>
      </w:r>
      <w:r w:rsidRPr="0019485F">
        <w:rPr>
          <w:rFonts w:ascii="Verdana" w:hAnsi="Verdana"/>
          <w:sz w:val="20"/>
          <w:szCs w:val="20"/>
          <w:lang w:val="fr-LU"/>
        </w:rPr>
        <w:tab/>
      </w:r>
      <w:r w:rsidRPr="0019485F">
        <w:rPr>
          <w:rFonts w:ascii="Verdana" w:hAnsi="Verdana"/>
          <w:sz w:val="20"/>
          <w:szCs w:val="20"/>
          <w:lang w:val="fr-LU"/>
        </w:rPr>
        <w:tab/>
      </w:r>
      <w:r w:rsidRPr="0019485F">
        <w:rPr>
          <w:rFonts w:ascii="Verdana" w:hAnsi="Verdana"/>
          <w:sz w:val="20"/>
          <w:szCs w:val="20"/>
          <w:lang w:val="fr-LU"/>
        </w:rPr>
        <w:tab/>
        <w:t xml:space="preserve">                                                                </w:t>
      </w:r>
      <w:r>
        <w:rPr>
          <w:rFonts w:ascii="Verdana" w:hAnsi="Verdana"/>
          <w:sz w:val="20"/>
          <w:szCs w:val="20"/>
          <w:lang w:val="fr-LU"/>
        </w:rPr>
        <w:t xml:space="preserve">        </w:t>
      </w:r>
      <w:r w:rsidR="0082191C" w:rsidRPr="0019485F">
        <w:rPr>
          <w:rFonts w:ascii="Verdana" w:hAnsi="Verdana"/>
          <w:sz w:val="20"/>
          <w:szCs w:val="20"/>
          <w:lang w:val="fr-LU"/>
        </w:rPr>
        <w:t>LUXEMBOURG</w:t>
      </w:r>
      <w:r w:rsidR="0082191C" w:rsidRPr="0019485F">
        <w:rPr>
          <w:rFonts w:ascii="Verdana" w:hAnsi="Verdana"/>
          <w:sz w:val="20"/>
          <w:szCs w:val="20"/>
          <w:lang w:val="fr-LU"/>
        </w:rPr>
        <w:tab/>
      </w:r>
      <w:r w:rsidR="0082191C" w:rsidRPr="0019485F">
        <w:rPr>
          <w:rFonts w:ascii="Verdana" w:hAnsi="Verdana"/>
          <w:sz w:val="20"/>
          <w:szCs w:val="20"/>
          <w:lang w:val="fr-LU"/>
        </w:rPr>
        <w:tab/>
      </w:r>
      <w:r w:rsidR="0082191C" w:rsidRPr="0019485F">
        <w:rPr>
          <w:rFonts w:ascii="Verdana" w:hAnsi="Verdana"/>
          <w:sz w:val="20"/>
          <w:szCs w:val="20"/>
          <w:lang w:val="fr-LU"/>
        </w:rPr>
        <w:tab/>
      </w:r>
      <w:r w:rsidR="0082191C" w:rsidRPr="0019485F">
        <w:rPr>
          <w:rFonts w:ascii="Verdana" w:hAnsi="Verdana"/>
          <w:sz w:val="20"/>
          <w:szCs w:val="20"/>
          <w:lang w:val="fr-LU"/>
        </w:rPr>
        <w:tab/>
        <w:t>Registre de Commerce et des Sociétés Luxembourg:</w:t>
      </w:r>
      <w:r w:rsidRPr="0019485F">
        <w:rPr>
          <w:rFonts w:ascii="Verdana" w:hAnsi="Verdana"/>
          <w:sz w:val="20"/>
          <w:szCs w:val="20"/>
          <w:lang w:val="fr-LU"/>
        </w:rPr>
        <w:t xml:space="preserve"> </w:t>
      </w:r>
      <w:r w:rsidR="0082191C" w:rsidRPr="0019485F">
        <w:rPr>
          <w:rFonts w:ascii="Verdana" w:hAnsi="Verdana"/>
          <w:sz w:val="20"/>
          <w:szCs w:val="20"/>
          <w:lang w:val="fr-LU"/>
        </w:rPr>
        <w:t>B 78 769</w:t>
      </w:r>
    </w:p>
    <w:p w14:paraId="57FD624A" w14:textId="77777777" w:rsidR="007E7755" w:rsidRPr="0019485F" w:rsidRDefault="005023AF">
      <w:pPr>
        <w:rPr>
          <w:rFonts w:ascii="Verdana" w:hAnsi="Verdana"/>
          <w:lang w:val="fr-LU"/>
        </w:rPr>
      </w:pPr>
      <w:r w:rsidRPr="0019485F">
        <w:rPr>
          <w:rFonts w:ascii="Verdana" w:hAnsi="Verdana"/>
          <w:lang w:val="fr-LU"/>
        </w:rPr>
        <w:br w:type="page"/>
      </w:r>
    </w:p>
    <w:sdt>
      <w:sdtPr>
        <w:rPr>
          <w:rFonts w:ascii="Verdana" w:hAnsi="Verdana"/>
        </w:rPr>
        <w:id w:val="2035768871"/>
        <w:docPartObj>
          <w:docPartGallery w:val="Table of Contents"/>
          <w:docPartUnique/>
        </w:docPartObj>
      </w:sdtPr>
      <w:sdtEndPr>
        <w:rPr>
          <w:noProof/>
          <w:sz w:val="20"/>
          <w:szCs w:val="20"/>
        </w:rPr>
      </w:sdtEndPr>
      <w:sdtContent>
        <w:p w14:paraId="5D235B24" w14:textId="7C58067A" w:rsidR="00996BCE" w:rsidRPr="0019485F" w:rsidRDefault="00D42EF5">
          <w:pPr>
            <w:rPr>
              <w:rStyle w:val="Heading4Char"/>
              <w:rFonts w:ascii="Verdana" w:hAnsi="Verdana"/>
              <w:color w:val="6CACE4"/>
              <w:sz w:val="22"/>
              <w:szCs w:val="22"/>
            </w:rPr>
          </w:pPr>
          <w:r w:rsidRPr="0019485F">
            <w:rPr>
              <w:rStyle w:val="Heading4Char"/>
              <w:rFonts w:ascii="Verdana" w:hAnsi="Verdana"/>
              <w:color w:val="6CACE4"/>
              <w:sz w:val="22"/>
              <w:szCs w:val="22"/>
            </w:rPr>
            <w:t xml:space="preserve">Table of </w:t>
          </w:r>
          <w:r w:rsidR="00996BCE" w:rsidRPr="0019485F">
            <w:rPr>
              <w:rStyle w:val="Heading4Char"/>
              <w:rFonts w:ascii="Verdana" w:hAnsi="Verdana"/>
              <w:color w:val="6CACE4"/>
              <w:sz w:val="22"/>
              <w:szCs w:val="22"/>
            </w:rPr>
            <w:t>Contents</w:t>
          </w:r>
        </w:p>
        <w:p w14:paraId="46D84323" w14:textId="77777777" w:rsidR="00B6671E" w:rsidRPr="0019485F" w:rsidRDefault="00996BCE">
          <w:pPr>
            <w:pStyle w:val="TOC1"/>
            <w:tabs>
              <w:tab w:val="left" w:pos="440"/>
              <w:tab w:val="right" w:leader="dot" w:pos="9350"/>
            </w:tabs>
            <w:rPr>
              <w:rFonts w:ascii="Verdana" w:hAnsi="Verdana"/>
              <w:noProof/>
              <w:sz w:val="20"/>
              <w:szCs w:val="20"/>
              <w:lang w:val="fr-LU" w:eastAsia="fr-LU"/>
            </w:rPr>
          </w:pPr>
          <w:r w:rsidRPr="0019485F">
            <w:rPr>
              <w:rFonts w:ascii="Verdana" w:hAnsi="Verdana"/>
              <w:sz w:val="20"/>
              <w:szCs w:val="20"/>
            </w:rPr>
            <w:fldChar w:fldCharType="begin"/>
          </w:r>
          <w:r w:rsidRPr="0019485F">
            <w:rPr>
              <w:rFonts w:ascii="Verdana" w:hAnsi="Verdana"/>
              <w:sz w:val="20"/>
              <w:szCs w:val="20"/>
            </w:rPr>
            <w:instrText xml:space="preserve"> TOC \o "1-3" \h \z \u </w:instrText>
          </w:r>
          <w:r w:rsidRPr="0019485F">
            <w:rPr>
              <w:rFonts w:ascii="Verdana" w:hAnsi="Verdana"/>
              <w:sz w:val="20"/>
              <w:szCs w:val="20"/>
            </w:rPr>
            <w:fldChar w:fldCharType="separate"/>
          </w:r>
          <w:hyperlink w:anchor="_Toc22716569" w:history="1">
            <w:r w:rsidR="00B6671E" w:rsidRPr="0019485F">
              <w:rPr>
                <w:rStyle w:val="Hyperlink"/>
                <w:rFonts w:ascii="Verdana" w:hAnsi="Verdana"/>
                <w:noProof/>
                <w:sz w:val="20"/>
                <w:szCs w:val="20"/>
                <w:lang w:val="fr-LU"/>
              </w:rPr>
              <w:t>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lang w:val="fr-LU"/>
              </w:rPr>
              <w:t>General Information</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_Toc22716569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5</w:t>
            </w:r>
            <w:r w:rsidR="00B6671E" w:rsidRPr="0019485F">
              <w:rPr>
                <w:rFonts w:ascii="Verdana" w:hAnsi="Verdana"/>
                <w:noProof/>
                <w:webHidden/>
                <w:sz w:val="20"/>
                <w:szCs w:val="20"/>
              </w:rPr>
              <w:fldChar w:fldCharType="end"/>
            </w:r>
          </w:hyperlink>
        </w:p>
        <w:p w14:paraId="71946A28"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0" w:history="1">
            <w:r w:rsidR="00B6671E" w:rsidRPr="0019485F">
              <w:rPr>
                <w:rStyle w:val="Hyperlink"/>
                <w:rFonts w:ascii="Verdana" w:hAnsi="Verdana"/>
                <w:noProof/>
                <w:sz w:val="20"/>
                <w:szCs w:val="20"/>
              </w:rPr>
              <w:t>1.1.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Introduction</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_Toc22716570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5</w:t>
            </w:r>
            <w:r w:rsidR="00B6671E" w:rsidRPr="0019485F">
              <w:rPr>
                <w:rFonts w:ascii="Verdana" w:hAnsi="Verdana"/>
                <w:noProof/>
                <w:webHidden/>
                <w:sz w:val="20"/>
                <w:szCs w:val="20"/>
              </w:rPr>
              <w:fldChar w:fldCharType="end"/>
            </w:r>
          </w:hyperlink>
        </w:p>
        <w:p w14:paraId="65B97591"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1" w:history="1">
            <w:r w:rsidR="00B6671E" w:rsidRPr="0019485F">
              <w:rPr>
                <w:rStyle w:val="Hyperlink"/>
                <w:rFonts w:ascii="Verdana" w:hAnsi="Verdana"/>
                <w:noProof/>
                <w:sz w:val="20"/>
                <w:szCs w:val="20"/>
              </w:rPr>
              <w:t>1.2.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The Company’s scope of activities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_Toc22716571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6</w:t>
            </w:r>
            <w:r w:rsidR="00B6671E" w:rsidRPr="0019485F">
              <w:rPr>
                <w:rFonts w:ascii="Verdana" w:hAnsi="Verdana"/>
                <w:noProof/>
                <w:webHidden/>
                <w:sz w:val="20"/>
                <w:szCs w:val="20"/>
              </w:rPr>
              <w:fldChar w:fldCharType="end"/>
            </w:r>
          </w:hyperlink>
          <w:bookmarkStart w:id="0" w:name="_GoBack"/>
          <w:bookmarkEnd w:id="0"/>
        </w:p>
        <w:p w14:paraId="16E03164"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2" w:history="1">
            <w:r w:rsidR="00B6671E" w:rsidRPr="0019485F">
              <w:rPr>
                <w:rStyle w:val="Hyperlink"/>
                <w:rFonts w:ascii="Verdana" w:hAnsi="Verdana"/>
                <w:noProof/>
                <w:sz w:val="20"/>
                <w:szCs w:val="20"/>
              </w:rPr>
              <w:t>1.3.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Scope of Application (Art. 13, 431 and 436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_Toc22716572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6</w:t>
            </w:r>
            <w:r w:rsidR="00B6671E" w:rsidRPr="0019485F">
              <w:rPr>
                <w:rFonts w:ascii="Verdana" w:hAnsi="Verdana"/>
                <w:noProof/>
                <w:webHidden/>
                <w:sz w:val="20"/>
                <w:szCs w:val="20"/>
              </w:rPr>
              <w:fldChar w:fldCharType="end"/>
            </w:r>
          </w:hyperlink>
        </w:p>
        <w:p w14:paraId="31D38A84"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3" w:history="1">
            <w:r w:rsidR="00B6671E" w:rsidRPr="0019485F">
              <w:rPr>
                <w:rStyle w:val="Hyperlink"/>
                <w:rFonts w:ascii="Verdana" w:hAnsi="Verdana"/>
                <w:noProof/>
                <w:sz w:val="20"/>
                <w:szCs w:val="20"/>
              </w:rPr>
              <w:t>1.4.</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Frequency and location of disclosure (Art. 432 and 433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_Toc22716573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6</w:t>
            </w:r>
            <w:r w:rsidR="00B6671E" w:rsidRPr="0019485F">
              <w:rPr>
                <w:rFonts w:ascii="Verdana" w:hAnsi="Verdana"/>
                <w:noProof/>
                <w:webHidden/>
                <w:sz w:val="20"/>
                <w:szCs w:val="20"/>
              </w:rPr>
              <w:fldChar w:fldCharType="end"/>
            </w:r>
          </w:hyperlink>
        </w:p>
        <w:p w14:paraId="1B75C4D8"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4" w:history="1">
            <w:r w:rsidR="00B6671E" w:rsidRPr="0019485F">
              <w:rPr>
                <w:rStyle w:val="Hyperlink"/>
                <w:rFonts w:ascii="Verdana" w:hAnsi="Verdana"/>
                <w:noProof/>
                <w:sz w:val="20"/>
                <w:szCs w:val="20"/>
              </w:rPr>
              <w:t>1.5.</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Materiality (Art. 432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_Toc22716574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6</w:t>
            </w:r>
            <w:r w:rsidR="00B6671E" w:rsidRPr="0019485F">
              <w:rPr>
                <w:rFonts w:ascii="Verdana" w:hAnsi="Verdana"/>
                <w:noProof/>
                <w:webHidden/>
                <w:sz w:val="20"/>
                <w:szCs w:val="20"/>
              </w:rPr>
              <w:fldChar w:fldCharType="end"/>
            </w:r>
          </w:hyperlink>
        </w:p>
        <w:p w14:paraId="100D529C"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5" w:history="1">
            <w:r w:rsidR="00B6671E" w:rsidRPr="0019485F">
              <w:rPr>
                <w:rStyle w:val="Hyperlink"/>
                <w:rFonts w:ascii="Verdana" w:hAnsi="Verdana"/>
                <w:noProof/>
                <w:sz w:val="20"/>
                <w:szCs w:val="20"/>
              </w:rPr>
              <w:t>1.6.</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Proprietary or confidential information (Art. 432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_Toc22716575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7</w:t>
            </w:r>
            <w:r w:rsidR="00B6671E" w:rsidRPr="0019485F">
              <w:rPr>
                <w:rFonts w:ascii="Verdana" w:hAnsi="Verdana"/>
                <w:noProof/>
                <w:webHidden/>
                <w:sz w:val="20"/>
                <w:szCs w:val="20"/>
              </w:rPr>
              <w:fldChar w:fldCharType="end"/>
            </w:r>
          </w:hyperlink>
        </w:p>
        <w:p w14:paraId="6A26F0BA"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576" w:history="1">
            <w:r w:rsidR="00B6671E" w:rsidRPr="0019485F">
              <w:rPr>
                <w:rStyle w:val="Hyperlink"/>
                <w:rFonts w:ascii="Verdana" w:hAnsi="Verdana"/>
                <w:noProof/>
                <w:sz w:val="20"/>
                <w:szCs w:val="20"/>
              </w:rPr>
              <w:t>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Governance and Risk Management Framework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_Toc22716576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7</w:t>
            </w:r>
            <w:r w:rsidR="00B6671E" w:rsidRPr="0019485F">
              <w:rPr>
                <w:rFonts w:ascii="Verdana" w:hAnsi="Verdana"/>
                <w:noProof/>
                <w:webHidden/>
                <w:sz w:val="20"/>
                <w:szCs w:val="20"/>
              </w:rPr>
              <w:fldChar w:fldCharType="end"/>
            </w:r>
          </w:hyperlink>
        </w:p>
        <w:p w14:paraId="72EE0967"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7" w:history="1">
            <w:r w:rsidR="00B6671E" w:rsidRPr="0019485F">
              <w:rPr>
                <w:rStyle w:val="Hyperlink"/>
                <w:rFonts w:ascii="Verdana" w:hAnsi="Verdana"/>
                <w:noProof/>
                <w:sz w:val="20"/>
                <w:szCs w:val="20"/>
              </w:rPr>
              <w:t>2.1.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Governance Framework (Art. 435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_Toc22716577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7</w:t>
            </w:r>
            <w:r w:rsidR="00B6671E" w:rsidRPr="0019485F">
              <w:rPr>
                <w:rFonts w:ascii="Verdana" w:hAnsi="Verdana"/>
                <w:noProof/>
                <w:webHidden/>
                <w:sz w:val="20"/>
                <w:szCs w:val="20"/>
              </w:rPr>
              <w:fldChar w:fldCharType="end"/>
            </w:r>
          </w:hyperlink>
        </w:p>
        <w:p w14:paraId="30EB9B98"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8" w:history="1">
            <w:r w:rsidR="00B6671E" w:rsidRPr="0019485F">
              <w:rPr>
                <w:rStyle w:val="Hyperlink"/>
                <w:rFonts w:ascii="Verdana" w:hAnsi="Verdana"/>
                <w:noProof/>
                <w:sz w:val="20"/>
                <w:szCs w:val="20"/>
              </w:rPr>
              <w:t>2.2.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Risk Management Framework (Art. 435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_Toc22716578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10</w:t>
            </w:r>
            <w:r w:rsidR="00B6671E" w:rsidRPr="0019485F">
              <w:rPr>
                <w:rFonts w:ascii="Verdana" w:hAnsi="Verdana"/>
                <w:noProof/>
                <w:webHidden/>
                <w:sz w:val="20"/>
                <w:szCs w:val="20"/>
              </w:rPr>
              <w:fldChar w:fldCharType="end"/>
            </w:r>
          </w:hyperlink>
        </w:p>
        <w:p w14:paraId="59BCF4B4"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79" w:history="1">
            <w:r w:rsidR="00B6671E" w:rsidRPr="0019485F">
              <w:rPr>
                <w:rStyle w:val="Hyperlink"/>
                <w:rFonts w:ascii="Verdana" w:hAnsi="Verdana"/>
                <w:noProof/>
                <w:sz w:val="20"/>
                <w:szCs w:val="20"/>
              </w:rPr>
              <w:t>2.3.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Risk reporting</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_Toc22716579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11</w:t>
            </w:r>
            <w:r w:rsidR="00B6671E" w:rsidRPr="0019485F">
              <w:rPr>
                <w:rFonts w:ascii="Verdana" w:hAnsi="Verdana"/>
                <w:noProof/>
                <w:webHidden/>
                <w:sz w:val="20"/>
                <w:szCs w:val="20"/>
              </w:rPr>
              <w:fldChar w:fldCharType="end"/>
            </w:r>
          </w:hyperlink>
        </w:p>
        <w:p w14:paraId="4104791A"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80" w:history="1">
            <w:r w:rsidR="00B6671E" w:rsidRPr="0019485F">
              <w:rPr>
                <w:rStyle w:val="Hyperlink"/>
                <w:rFonts w:ascii="Verdana" w:hAnsi="Verdana"/>
                <w:noProof/>
                <w:sz w:val="20"/>
                <w:szCs w:val="20"/>
              </w:rPr>
              <w:t>2.4.</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Risk Appetite</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_Toc22716580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11</w:t>
            </w:r>
            <w:r w:rsidR="00B6671E" w:rsidRPr="0019485F">
              <w:rPr>
                <w:rFonts w:ascii="Verdana" w:hAnsi="Verdana"/>
                <w:noProof/>
                <w:webHidden/>
                <w:sz w:val="20"/>
                <w:szCs w:val="20"/>
              </w:rPr>
              <w:fldChar w:fldCharType="end"/>
            </w:r>
          </w:hyperlink>
        </w:p>
        <w:p w14:paraId="63A6C0DF"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81" w:history="1">
            <w:r w:rsidR="00B6671E" w:rsidRPr="0019485F">
              <w:rPr>
                <w:rStyle w:val="Hyperlink"/>
                <w:rFonts w:ascii="Verdana" w:hAnsi="Verdana"/>
                <w:noProof/>
                <w:sz w:val="20"/>
                <w:szCs w:val="20"/>
              </w:rPr>
              <w:t>2.5.</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Recruitment policy (Art. 435 (2)(b))</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_Toc22716581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11</w:t>
            </w:r>
            <w:r w:rsidR="00B6671E" w:rsidRPr="0019485F">
              <w:rPr>
                <w:rFonts w:ascii="Verdana" w:hAnsi="Verdana"/>
                <w:noProof/>
                <w:webHidden/>
                <w:sz w:val="20"/>
                <w:szCs w:val="20"/>
              </w:rPr>
              <w:fldChar w:fldCharType="end"/>
            </w:r>
          </w:hyperlink>
        </w:p>
        <w:p w14:paraId="0F421078"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82" w:history="1">
            <w:r w:rsidR="00B6671E" w:rsidRPr="0019485F">
              <w:rPr>
                <w:rStyle w:val="Hyperlink"/>
                <w:rFonts w:ascii="Verdana" w:hAnsi="Verdana"/>
                <w:noProof/>
                <w:sz w:val="20"/>
                <w:szCs w:val="20"/>
              </w:rPr>
              <w:t>2.6.</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Diversity policy (Art. 435 (2)(c))</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_Toc22716582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12</w:t>
            </w:r>
            <w:r w:rsidR="00B6671E" w:rsidRPr="0019485F">
              <w:rPr>
                <w:rFonts w:ascii="Verdana" w:hAnsi="Verdana"/>
                <w:noProof/>
                <w:webHidden/>
                <w:sz w:val="20"/>
                <w:szCs w:val="20"/>
              </w:rPr>
              <w:fldChar w:fldCharType="end"/>
            </w:r>
          </w:hyperlink>
        </w:p>
        <w:p w14:paraId="747E7CD2"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583" w:history="1">
            <w:r w:rsidR="00B6671E" w:rsidRPr="0019485F">
              <w:rPr>
                <w:rStyle w:val="Hyperlink"/>
                <w:rFonts w:ascii="Verdana" w:hAnsi="Verdana"/>
                <w:noProof/>
                <w:sz w:val="20"/>
                <w:szCs w:val="20"/>
              </w:rPr>
              <w:t>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Own Funds (Art. 437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_Toc22716583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12</w:t>
            </w:r>
            <w:r w:rsidR="00B6671E" w:rsidRPr="0019485F">
              <w:rPr>
                <w:rFonts w:ascii="Verdana" w:hAnsi="Verdana"/>
                <w:noProof/>
                <w:webHidden/>
                <w:sz w:val="20"/>
                <w:szCs w:val="20"/>
              </w:rPr>
              <w:fldChar w:fldCharType="end"/>
            </w:r>
          </w:hyperlink>
        </w:p>
        <w:p w14:paraId="33876B17"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84" w:history="1">
            <w:r w:rsidR="00B6671E" w:rsidRPr="0019485F">
              <w:rPr>
                <w:rStyle w:val="Hyperlink"/>
                <w:rFonts w:ascii="Verdana" w:hAnsi="Verdana"/>
                <w:noProof/>
                <w:sz w:val="20"/>
                <w:szCs w:val="20"/>
              </w:rPr>
              <w:t>3.1.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Description of Equity items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_Toc22716584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14</w:t>
            </w:r>
            <w:r w:rsidR="00B6671E" w:rsidRPr="0019485F">
              <w:rPr>
                <w:rFonts w:ascii="Verdana" w:hAnsi="Verdana"/>
                <w:noProof/>
                <w:webHidden/>
                <w:sz w:val="20"/>
                <w:szCs w:val="20"/>
              </w:rPr>
              <w:fldChar w:fldCharType="end"/>
            </w:r>
          </w:hyperlink>
        </w:p>
        <w:p w14:paraId="6D243349"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585" w:history="1">
            <w:r w:rsidR="00B6671E" w:rsidRPr="0019485F">
              <w:rPr>
                <w:rStyle w:val="Hyperlink"/>
                <w:rFonts w:ascii="Verdana" w:hAnsi="Verdana"/>
                <w:noProof/>
                <w:sz w:val="20"/>
                <w:szCs w:val="20"/>
              </w:rPr>
              <w:t>4.</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Capital requirements (Art.438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_Toc22716585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14</w:t>
            </w:r>
            <w:r w:rsidR="00B6671E" w:rsidRPr="0019485F">
              <w:rPr>
                <w:rFonts w:ascii="Verdana" w:hAnsi="Verdana"/>
                <w:noProof/>
                <w:webHidden/>
                <w:sz w:val="20"/>
                <w:szCs w:val="20"/>
              </w:rPr>
              <w:fldChar w:fldCharType="end"/>
            </w:r>
          </w:hyperlink>
        </w:p>
        <w:p w14:paraId="20D060DF"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86" w:history="1">
            <w:r w:rsidR="00B6671E" w:rsidRPr="0019485F">
              <w:rPr>
                <w:rStyle w:val="Hyperlink"/>
                <w:rFonts w:ascii="Verdana" w:hAnsi="Verdana"/>
                <w:noProof/>
                <w:sz w:val="20"/>
                <w:szCs w:val="20"/>
              </w:rPr>
              <w:t>4.1.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Pillar I Capital requirements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_Toc22716586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14</w:t>
            </w:r>
            <w:r w:rsidR="00B6671E" w:rsidRPr="0019485F">
              <w:rPr>
                <w:rFonts w:ascii="Verdana" w:hAnsi="Verdana"/>
                <w:noProof/>
                <w:webHidden/>
                <w:sz w:val="20"/>
                <w:szCs w:val="20"/>
              </w:rPr>
              <w:fldChar w:fldCharType="end"/>
            </w:r>
          </w:hyperlink>
        </w:p>
        <w:p w14:paraId="75210D78"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87" w:history="1">
            <w:r w:rsidR="00B6671E" w:rsidRPr="0019485F">
              <w:rPr>
                <w:rStyle w:val="Hyperlink"/>
                <w:rFonts w:ascii="Verdana" w:hAnsi="Verdana"/>
                <w:noProof/>
                <w:sz w:val="20"/>
                <w:szCs w:val="20"/>
              </w:rPr>
              <w:t>4.2.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Pillar II capital requirements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_Toc22716587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15</w:t>
            </w:r>
            <w:r w:rsidR="00B6671E" w:rsidRPr="0019485F">
              <w:rPr>
                <w:rFonts w:ascii="Verdana" w:hAnsi="Verdana"/>
                <w:noProof/>
                <w:webHidden/>
                <w:sz w:val="20"/>
                <w:szCs w:val="20"/>
              </w:rPr>
              <w:fldChar w:fldCharType="end"/>
            </w:r>
          </w:hyperlink>
        </w:p>
        <w:p w14:paraId="100EB938"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588" w:history="1">
            <w:r w:rsidR="00B6671E" w:rsidRPr="0019485F">
              <w:rPr>
                <w:rStyle w:val="Hyperlink"/>
                <w:rFonts w:ascii="Verdana" w:hAnsi="Verdana"/>
                <w:noProof/>
                <w:sz w:val="20"/>
                <w:szCs w:val="20"/>
              </w:rPr>
              <w:t>4.2.1.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ICAAP Framework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_Toc22716588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15</w:t>
            </w:r>
            <w:r w:rsidR="00B6671E" w:rsidRPr="0019485F">
              <w:rPr>
                <w:rFonts w:ascii="Verdana" w:hAnsi="Verdana"/>
                <w:noProof/>
                <w:webHidden/>
                <w:sz w:val="20"/>
                <w:szCs w:val="20"/>
              </w:rPr>
              <w:fldChar w:fldCharType="end"/>
            </w:r>
          </w:hyperlink>
        </w:p>
        <w:p w14:paraId="1FE4604E"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589" w:history="1">
            <w:r w:rsidR="00B6671E" w:rsidRPr="0019485F">
              <w:rPr>
                <w:rStyle w:val="Hyperlink"/>
                <w:rFonts w:ascii="Verdana" w:hAnsi="Verdana"/>
                <w:noProof/>
                <w:sz w:val="20"/>
                <w:szCs w:val="20"/>
              </w:rPr>
              <w:t>4.2.2.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Risk Overview</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_Toc22716589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15</w:t>
            </w:r>
            <w:r w:rsidR="00B6671E" w:rsidRPr="0019485F">
              <w:rPr>
                <w:rFonts w:ascii="Verdana" w:hAnsi="Verdana"/>
                <w:noProof/>
                <w:webHidden/>
                <w:sz w:val="20"/>
                <w:szCs w:val="20"/>
              </w:rPr>
              <w:fldChar w:fldCharType="end"/>
            </w:r>
          </w:hyperlink>
        </w:p>
        <w:p w14:paraId="174F4457"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590" w:history="1">
            <w:r w:rsidR="00B6671E" w:rsidRPr="0019485F">
              <w:rPr>
                <w:rStyle w:val="Hyperlink"/>
                <w:rFonts w:ascii="Verdana" w:hAnsi="Verdana"/>
                <w:noProof/>
                <w:sz w:val="20"/>
                <w:szCs w:val="20"/>
              </w:rPr>
              <w:t>5.</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Capital buffers (Art.440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_Toc22716590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16</w:t>
            </w:r>
            <w:r w:rsidR="00B6671E" w:rsidRPr="0019485F">
              <w:rPr>
                <w:rFonts w:ascii="Verdana" w:hAnsi="Verdana"/>
                <w:noProof/>
                <w:webHidden/>
                <w:sz w:val="20"/>
                <w:szCs w:val="20"/>
              </w:rPr>
              <w:fldChar w:fldCharType="end"/>
            </w:r>
          </w:hyperlink>
        </w:p>
        <w:p w14:paraId="56FD7354"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591" w:history="1">
            <w:r w:rsidR="00B6671E" w:rsidRPr="0019485F">
              <w:rPr>
                <w:rStyle w:val="Hyperlink"/>
                <w:rFonts w:ascii="Verdana" w:hAnsi="Verdana"/>
                <w:noProof/>
                <w:sz w:val="20"/>
                <w:szCs w:val="20"/>
              </w:rPr>
              <w:t>6.</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Inventory of risks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_Toc22716591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16</w:t>
            </w:r>
            <w:r w:rsidR="00B6671E" w:rsidRPr="0019485F">
              <w:rPr>
                <w:rFonts w:ascii="Verdana" w:hAnsi="Verdana"/>
                <w:noProof/>
                <w:webHidden/>
                <w:sz w:val="20"/>
                <w:szCs w:val="20"/>
              </w:rPr>
              <w:fldChar w:fldCharType="end"/>
            </w:r>
          </w:hyperlink>
        </w:p>
        <w:p w14:paraId="543E406C"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92" w:history="1">
            <w:r w:rsidR="00B6671E" w:rsidRPr="0019485F">
              <w:rPr>
                <w:rStyle w:val="Hyperlink"/>
                <w:rFonts w:ascii="Verdana" w:hAnsi="Verdana"/>
                <w:noProof/>
                <w:sz w:val="20"/>
                <w:szCs w:val="20"/>
              </w:rPr>
              <w:t>6.1.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Credit risks (Art. 442 of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_Toc22716592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16</w:t>
            </w:r>
            <w:r w:rsidR="00B6671E" w:rsidRPr="0019485F">
              <w:rPr>
                <w:rFonts w:ascii="Verdana" w:hAnsi="Verdana"/>
                <w:noProof/>
                <w:webHidden/>
                <w:sz w:val="20"/>
                <w:szCs w:val="20"/>
              </w:rPr>
              <w:fldChar w:fldCharType="end"/>
            </w:r>
          </w:hyperlink>
        </w:p>
        <w:p w14:paraId="733A4014"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593" w:history="1">
            <w:r w:rsidR="00B6671E" w:rsidRPr="0019485F">
              <w:rPr>
                <w:rStyle w:val="Hyperlink"/>
                <w:rFonts w:ascii="Verdana" w:hAnsi="Verdana"/>
                <w:noProof/>
                <w:sz w:val="20"/>
                <w:szCs w:val="20"/>
              </w:rPr>
              <w:t>6.1.1.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Credit risk management framework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_Toc22716593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16</w:t>
            </w:r>
            <w:r w:rsidR="00B6671E" w:rsidRPr="0019485F">
              <w:rPr>
                <w:rFonts w:ascii="Verdana" w:hAnsi="Verdana"/>
                <w:noProof/>
                <w:webHidden/>
                <w:sz w:val="20"/>
                <w:szCs w:val="20"/>
              </w:rPr>
              <w:fldChar w:fldCharType="end"/>
            </w:r>
          </w:hyperlink>
        </w:p>
        <w:p w14:paraId="1CB93F19"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594" w:history="1">
            <w:r w:rsidR="00B6671E" w:rsidRPr="0019485F">
              <w:rPr>
                <w:rStyle w:val="Hyperlink"/>
                <w:rFonts w:ascii="Verdana" w:hAnsi="Verdana"/>
                <w:noProof/>
                <w:sz w:val="20"/>
                <w:szCs w:val="20"/>
              </w:rPr>
              <w:t>6.1.2.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Capital requirements for credit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_Toc22716594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17</w:t>
            </w:r>
            <w:r w:rsidR="00B6671E" w:rsidRPr="0019485F">
              <w:rPr>
                <w:rFonts w:ascii="Verdana" w:hAnsi="Verdana"/>
                <w:noProof/>
                <w:webHidden/>
                <w:sz w:val="20"/>
                <w:szCs w:val="20"/>
              </w:rPr>
              <w:fldChar w:fldCharType="end"/>
            </w:r>
          </w:hyperlink>
        </w:p>
        <w:p w14:paraId="09B65111"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595" w:history="1">
            <w:r w:rsidR="00B6671E" w:rsidRPr="0019485F">
              <w:rPr>
                <w:rStyle w:val="Hyperlink"/>
                <w:rFonts w:ascii="Verdana" w:hAnsi="Verdana"/>
                <w:noProof/>
                <w:sz w:val="20"/>
                <w:szCs w:val="20"/>
              </w:rPr>
              <w:t>6.1.3.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Asset portfolio (Art. 438 of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_Toc22716595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17</w:t>
            </w:r>
            <w:r w:rsidR="00B6671E" w:rsidRPr="0019485F">
              <w:rPr>
                <w:rFonts w:ascii="Verdana" w:hAnsi="Verdana"/>
                <w:noProof/>
                <w:webHidden/>
                <w:sz w:val="20"/>
                <w:szCs w:val="20"/>
              </w:rPr>
              <w:fldChar w:fldCharType="end"/>
            </w:r>
          </w:hyperlink>
        </w:p>
        <w:p w14:paraId="3250A862"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596" w:history="1">
            <w:r w:rsidR="00B6671E" w:rsidRPr="0019485F">
              <w:rPr>
                <w:rStyle w:val="Hyperlink"/>
                <w:rFonts w:ascii="Verdana" w:hAnsi="Verdana"/>
                <w:noProof/>
                <w:sz w:val="20"/>
                <w:szCs w:val="20"/>
              </w:rPr>
              <w:t>6.1.4.</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Past due and impaired exposures (Art.442 of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_Toc22716596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18</w:t>
            </w:r>
            <w:r w:rsidR="00B6671E" w:rsidRPr="0019485F">
              <w:rPr>
                <w:rFonts w:ascii="Verdana" w:hAnsi="Verdana"/>
                <w:noProof/>
                <w:webHidden/>
                <w:sz w:val="20"/>
                <w:szCs w:val="20"/>
              </w:rPr>
              <w:fldChar w:fldCharType="end"/>
            </w:r>
          </w:hyperlink>
        </w:p>
        <w:p w14:paraId="5B587BB6"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597" w:history="1">
            <w:r w:rsidR="00B6671E" w:rsidRPr="0019485F">
              <w:rPr>
                <w:rStyle w:val="Hyperlink"/>
                <w:rFonts w:ascii="Verdana" w:hAnsi="Verdana"/>
                <w:noProof/>
                <w:sz w:val="20"/>
                <w:szCs w:val="20"/>
              </w:rPr>
              <w:t>6.1.5.</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Use of ECAIs (Art 444 of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_Toc22716597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18</w:t>
            </w:r>
            <w:r w:rsidR="00B6671E" w:rsidRPr="0019485F">
              <w:rPr>
                <w:rFonts w:ascii="Verdana" w:hAnsi="Verdana"/>
                <w:noProof/>
                <w:webHidden/>
                <w:sz w:val="20"/>
                <w:szCs w:val="20"/>
              </w:rPr>
              <w:fldChar w:fldCharType="end"/>
            </w:r>
          </w:hyperlink>
        </w:p>
        <w:p w14:paraId="6C8ED33A"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98" w:history="1">
            <w:r w:rsidR="00B6671E" w:rsidRPr="0019485F">
              <w:rPr>
                <w:rStyle w:val="Hyperlink"/>
                <w:rFonts w:ascii="Verdana" w:hAnsi="Verdana"/>
                <w:noProof/>
                <w:sz w:val="20"/>
                <w:szCs w:val="20"/>
              </w:rPr>
              <w:t>6.2.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Counterparty &amp; Depositary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_Toc22716598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18</w:t>
            </w:r>
            <w:r w:rsidR="00B6671E" w:rsidRPr="0019485F">
              <w:rPr>
                <w:rFonts w:ascii="Verdana" w:hAnsi="Verdana"/>
                <w:noProof/>
                <w:webHidden/>
                <w:sz w:val="20"/>
                <w:szCs w:val="20"/>
              </w:rPr>
              <w:fldChar w:fldCharType="end"/>
            </w:r>
          </w:hyperlink>
        </w:p>
        <w:p w14:paraId="3E4A374E"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599" w:history="1">
            <w:r w:rsidR="00B6671E" w:rsidRPr="0019485F">
              <w:rPr>
                <w:rStyle w:val="Hyperlink"/>
                <w:rFonts w:ascii="Verdana" w:hAnsi="Verdana"/>
                <w:noProof/>
                <w:sz w:val="20"/>
                <w:szCs w:val="20"/>
              </w:rPr>
              <w:t>6.3.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Concentration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_Toc22716599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18</w:t>
            </w:r>
            <w:r w:rsidR="00B6671E" w:rsidRPr="0019485F">
              <w:rPr>
                <w:rFonts w:ascii="Verdana" w:hAnsi="Verdana"/>
                <w:noProof/>
                <w:webHidden/>
                <w:sz w:val="20"/>
                <w:szCs w:val="20"/>
              </w:rPr>
              <w:fldChar w:fldCharType="end"/>
            </w:r>
          </w:hyperlink>
        </w:p>
        <w:p w14:paraId="40388015"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00" w:history="1">
            <w:r w:rsidR="00B6671E" w:rsidRPr="0019485F">
              <w:rPr>
                <w:rStyle w:val="Hyperlink"/>
                <w:rFonts w:ascii="Verdana" w:hAnsi="Verdana"/>
                <w:noProof/>
                <w:sz w:val="20"/>
                <w:szCs w:val="20"/>
              </w:rPr>
              <w:t>6.4.</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Market risk (Article 445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_Toc22716600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19</w:t>
            </w:r>
            <w:r w:rsidR="00B6671E" w:rsidRPr="0019485F">
              <w:rPr>
                <w:rFonts w:ascii="Verdana" w:hAnsi="Verdana"/>
                <w:noProof/>
                <w:webHidden/>
                <w:sz w:val="20"/>
                <w:szCs w:val="20"/>
              </w:rPr>
              <w:fldChar w:fldCharType="end"/>
            </w:r>
          </w:hyperlink>
        </w:p>
        <w:p w14:paraId="529669D0"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01" w:history="1">
            <w:r w:rsidR="00B6671E" w:rsidRPr="0019485F">
              <w:rPr>
                <w:rStyle w:val="Hyperlink"/>
                <w:rFonts w:ascii="Verdana" w:hAnsi="Verdana"/>
                <w:noProof/>
                <w:sz w:val="20"/>
                <w:szCs w:val="20"/>
              </w:rPr>
              <w:t>6.5.</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Operational risk (Article 446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_Toc22716601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20</w:t>
            </w:r>
            <w:r w:rsidR="00B6671E" w:rsidRPr="0019485F">
              <w:rPr>
                <w:rFonts w:ascii="Verdana" w:hAnsi="Verdana"/>
                <w:noProof/>
                <w:webHidden/>
                <w:sz w:val="20"/>
                <w:szCs w:val="20"/>
              </w:rPr>
              <w:fldChar w:fldCharType="end"/>
            </w:r>
          </w:hyperlink>
        </w:p>
        <w:p w14:paraId="6F6635A3"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02" w:history="1">
            <w:r w:rsidR="00B6671E" w:rsidRPr="0019485F">
              <w:rPr>
                <w:rStyle w:val="Hyperlink"/>
                <w:rFonts w:ascii="Verdana" w:hAnsi="Verdana"/>
                <w:noProof/>
                <w:sz w:val="20"/>
                <w:szCs w:val="20"/>
              </w:rPr>
              <w:t>6.6.</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Interest Rate Risk (Article 448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_Toc22716602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21</w:t>
            </w:r>
            <w:r w:rsidR="00B6671E" w:rsidRPr="0019485F">
              <w:rPr>
                <w:rFonts w:ascii="Verdana" w:hAnsi="Verdana"/>
                <w:noProof/>
                <w:webHidden/>
                <w:sz w:val="20"/>
                <w:szCs w:val="20"/>
              </w:rPr>
              <w:fldChar w:fldCharType="end"/>
            </w:r>
          </w:hyperlink>
        </w:p>
        <w:p w14:paraId="3F24AFB1"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03" w:history="1">
            <w:r w:rsidR="00B6671E" w:rsidRPr="0019485F">
              <w:rPr>
                <w:rStyle w:val="Hyperlink"/>
                <w:rFonts w:ascii="Verdana" w:hAnsi="Verdana"/>
                <w:noProof/>
                <w:sz w:val="20"/>
                <w:szCs w:val="20"/>
              </w:rPr>
              <w:t>6.7.</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Liquidity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_Toc22716603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21</w:t>
            </w:r>
            <w:r w:rsidR="00B6671E" w:rsidRPr="0019485F">
              <w:rPr>
                <w:rFonts w:ascii="Verdana" w:hAnsi="Verdana"/>
                <w:noProof/>
                <w:webHidden/>
                <w:sz w:val="20"/>
                <w:szCs w:val="20"/>
              </w:rPr>
              <w:fldChar w:fldCharType="end"/>
            </w:r>
          </w:hyperlink>
        </w:p>
        <w:p w14:paraId="7D74EE57"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604" w:history="1">
            <w:r w:rsidR="00B6671E" w:rsidRPr="0019485F">
              <w:rPr>
                <w:rStyle w:val="Hyperlink"/>
                <w:rFonts w:ascii="Verdana" w:hAnsi="Verdana"/>
                <w:noProof/>
                <w:sz w:val="20"/>
                <w:szCs w:val="20"/>
              </w:rPr>
              <w:t>6.7.1.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Company’s own liquidity</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_Toc22716604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21</w:t>
            </w:r>
            <w:r w:rsidR="00B6671E" w:rsidRPr="0019485F">
              <w:rPr>
                <w:rFonts w:ascii="Verdana" w:hAnsi="Verdana"/>
                <w:noProof/>
                <w:webHidden/>
                <w:sz w:val="20"/>
                <w:szCs w:val="20"/>
              </w:rPr>
              <w:fldChar w:fldCharType="end"/>
            </w:r>
          </w:hyperlink>
        </w:p>
        <w:p w14:paraId="09E88608"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605" w:history="1">
            <w:r w:rsidR="00B6671E" w:rsidRPr="0019485F">
              <w:rPr>
                <w:rStyle w:val="Hyperlink"/>
                <w:rFonts w:ascii="Verdana" w:hAnsi="Verdana"/>
                <w:noProof/>
                <w:sz w:val="20"/>
                <w:szCs w:val="20"/>
              </w:rPr>
              <w:t>6.7.2.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Market liquidity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_Toc22716605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22</w:t>
            </w:r>
            <w:r w:rsidR="00B6671E" w:rsidRPr="0019485F">
              <w:rPr>
                <w:rFonts w:ascii="Verdana" w:hAnsi="Verdana"/>
                <w:noProof/>
                <w:webHidden/>
                <w:sz w:val="20"/>
                <w:szCs w:val="20"/>
              </w:rPr>
              <w:fldChar w:fldCharType="end"/>
            </w:r>
          </w:hyperlink>
        </w:p>
        <w:p w14:paraId="386A8F4A"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06" w:history="1">
            <w:r w:rsidR="00B6671E" w:rsidRPr="0019485F">
              <w:rPr>
                <w:rStyle w:val="Hyperlink"/>
                <w:rFonts w:ascii="Verdana" w:hAnsi="Verdana"/>
                <w:noProof/>
                <w:sz w:val="20"/>
                <w:szCs w:val="20"/>
              </w:rPr>
              <w:t>6.8.</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Settlement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_Toc22716606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22</w:t>
            </w:r>
            <w:r w:rsidR="00B6671E" w:rsidRPr="0019485F">
              <w:rPr>
                <w:rFonts w:ascii="Verdana" w:hAnsi="Verdana"/>
                <w:noProof/>
                <w:webHidden/>
                <w:sz w:val="20"/>
                <w:szCs w:val="20"/>
              </w:rPr>
              <w:fldChar w:fldCharType="end"/>
            </w:r>
          </w:hyperlink>
        </w:p>
        <w:p w14:paraId="6B07CE11"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07" w:history="1">
            <w:r w:rsidR="00B6671E" w:rsidRPr="0019485F">
              <w:rPr>
                <w:rStyle w:val="Hyperlink"/>
                <w:rFonts w:ascii="Verdana" w:hAnsi="Verdana"/>
                <w:noProof/>
                <w:sz w:val="20"/>
                <w:szCs w:val="20"/>
              </w:rPr>
              <w:t>6.9.</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Pricing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_Toc22716607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23</w:t>
            </w:r>
            <w:r w:rsidR="00B6671E" w:rsidRPr="0019485F">
              <w:rPr>
                <w:rFonts w:ascii="Verdana" w:hAnsi="Verdana"/>
                <w:noProof/>
                <w:webHidden/>
                <w:sz w:val="20"/>
                <w:szCs w:val="20"/>
              </w:rPr>
              <w:fldChar w:fldCharType="end"/>
            </w:r>
          </w:hyperlink>
        </w:p>
        <w:p w14:paraId="25794742" w14:textId="77777777" w:rsidR="00B6671E" w:rsidRPr="0019485F" w:rsidRDefault="00EE3D3D">
          <w:pPr>
            <w:pStyle w:val="TOC2"/>
            <w:tabs>
              <w:tab w:val="left" w:pos="1100"/>
              <w:tab w:val="right" w:leader="dot" w:pos="9350"/>
            </w:tabs>
            <w:rPr>
              <w:rFonts w:ascii="Verdana" w:hAnsi="Verdana"/>
              <w:noProof/>
              <w:sz w:val="20"/>
              <w:szCs w:val="20"/>
              <w:lang w:val="fr-LU" w:eastAsia="fr-LU"/>
            </w:rPr>
          </w:pPr>
          <w:hyperlink w:anchor="_Toc22716608" w:history="1">
            <w:r w:rsidR="00B6671E" w:rsidRPr="0019485F">
              <w:rPr>
                <w:rStyle w:val="Hyperlink"/>
                <w:rFonts w:ascii="Verdana" w:hAnsi="Verdana"/>
                <w:noProof/>
                <w:sz w:val="20"/>
                <w:szCs w:val="20"/>
              </w:rPr>
              <w:t>6.10.</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Complex product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_Toc22716608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23</w:t>
            </w:r>
            <w:r w:rsidR="00B6671E" w:rsidRPr="0019485F">
              <w:rPr>
                <w:rFonts w:ascii="Verdana" w:hAnsi="Verdana"/>
                <w:noProof/>
                <w:webHidden/>
                <w:sz w:val="20"/>
                <w:szCs w:val="20"/>
              </w:rPr>
              <w:fldChar w:fldCharType="end"/>
            </w:r>
          </w:hyperlink>
        </w:p>
        <w:p w14:paraId="38AF63CD" w14:textId="77777777" w:rsidR="00B6671E" w:rsidRPr="0019485F" w:rsidRDefault="00EE3D3D">
          <w:pPr>
            <w:pStyle w:val="TOC2"/>
            <w:tabs>
              <w:tab w:val="left" w:pos="1100"/>
              <w:tab w:val="right" w:leader="dot" w:pos="9350"/>
            </w:tabs>
            <w:rPr>
              <w:rFonts w:ascii="Verdana" w:hAnsi="Verdana"/>
              <w:noProof/>
              <w:sz w:val="20"/>
              <w:szCs w:val="20"/>
              <w:lang w:val="fr-LU" w:eastAsia="fr-LU"/>
            </w:rPr>
          </w:pPr>
          <w:hyperlink w:anchor="_Toc22716609" w:history="1">
            <w:r w:rsidR="00B6671E" w:rsidRPr="0019485F">
              <w:rPr>
                <w:rStyle w:val="Hyperlink"/>
                <w:rFonts w:ascii="Verdana" w:hAnsi="Verdana"/>
                <w:noProof/>
                <w:sz w:val="20"/>
                <w:szCs w:val="20"/>
              </w:rPr>
              <w:t>6.11.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Asset outflow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_Toc22716609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23</w:t>
            </w:r>
            <w:r w:rsidR="00B6671E" w:rsidRPr="0019485F">
              <w:rPr>
                <w:rFonts w:ascii="Verdana" w:hAnsi="Verdana"/>
                <w:noProof/>
                <w:webHidden/>
                <w:sz w:val="20"/>
                <w:szCs w:val="20"/>
              </w:rPr>
              <w:fldChar w:fldCharType="end"/>
            </w:r>
          </w:hyperlink>
        </w:p>
        <w:p w14:paraId="3B948B7C" w14:textId="77777777" w:rsidR="00B6671E" w:rsidRPr="0019485F" w:rsidRDefault="00EE3D3D">
          <w:pPr>
            <w:pStyle w:val="TOC2"/>
            <w:tabs>
              <w:tab w:val="left" w:pos="1100"/>
              <w:tab w:val="right" w:leader="dot" w:pos="9350"/>
            </w:tabs>
            <w:rPr>
              <w:rFonts w:ascii="Verdana" w:hAnsi="Verdana"/>
              <w:noProof/>
              <w:sz w:val="20"/>
              <w:szCs w:val="20"/>
              <w:lang w:val="fr-LU" w:eastAsia="fr-LU"/>
            </w:rPr>
          </w:pPr>
          <w:hyperlink w:anchor="_Toc22716610" w:history="1">
            <w:r w:rsidR="00B6671E" w:rsidRPr="0019485F">
              <w:rPr>
                <w:rStyle w:val="Hyperlink"/>
                <w:rFonts w:ascii="Verdana" w:hAnsi="Verdana"/>
                <w:noProof/>
                <w:sz w:val="20"/>
                <w:szCs w:val="20"/>
              </w:rPr>
              <w:t>6.12.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Compliance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_Toc22716610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24</w:t>
            </w:r>
            <w:r w:rsidR="00B6671E" w:rsidRPr="0019485F">
              <w:rPr>
                <w:rFonts w:ascii="Verdana" w:hAnsi="Verdana"/>
                <w:noProof/>
                <w:webHidden/>
                <w:sz w:val="20"/>
                <w:szCs w:val="20"/>
              </w:rPr>
              <w:fldChar w:fldCharType="end"/>
            </w:r>
          </w:hyperlink>
        </w:p>
        <w:p w14:paraId="4CB7EFFC" w14:textId="77777777" w:rsidR="00B6671E" w:rsidRPr="0019485F" w:rsidRDefault="00EE3D3D">
          <w:pPr>
            <w:pStyle w:val="TOC2"/>
            <w:tabs>
              <w:tab w:val="left" w:pos="1100"/>
              <w:tab w:val="right" w:leader="dot" w:pos="9350"/>
            </w:tabs>
            <w:rPr>
              <w:rFonts w:ascii="Verdana" w:hAnsi="Verdana"/>
              <w:noProof/>
              <w:sz w:val="20"/>
              <w:szCs w:val="20"/>
              <w:lang w:val="fr-LU" w:eastAsia="fr-LU"/>
            </w:rPr>
          </w:pPr>
          <w:hyperlink w:anchor="_Toc22716611" w:history="1">
            <w:r w:rsidR="00B6671E" w:rsidRPr="0019485F">
              <w:rPr>
                <w:rStyle w:val="Hyperlink"/>
                <w:rFonts w:ascii="Verdana" w:hAnsi="Verdana"/>
                <w:noProof/>
                <w:sz w:val="20"/>
                <w:szCs w:val="20"/>
              </w:rPr>
              <w:t>6.13.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Legal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_Toc22716611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25</w:t>
            </w:r>
            <w:r w:rsidR="00B6671E" w:rsidRPr="0019485F">
              <w:rPr>
                <w:rFonts w:ascii="Verdana" w:hAnsi="Verdana"/>
                <w:noProof/>
                <w:webHidden/>
                <w:sz w:val="20"/>
                <w:szCs w:val="20"/>
              </w:rPr>
              <w:fldChar w:fldCharType="end"/>
            </w:r>
          </w:hyperlink>
        </w:p>
        <w:p w14:paraId="477E6B84" w14:textId="77777777" w:rsidR="00B6671E" w:rsidRPr="0019485F" w:rsidRDefault="00EE3D3D">
          <w:pPr>
            <w:pStyle w:val="TOC2"/>
            <w:tabs>
              <w:tab w:val="left" w:pos="1100"/>
              <w:tab w:val="right" w:leader="dot" w:pos="9350"/>
            </w:tabs>
            <w:rPr>
              <w:rFonts w:ascii="Verdana" w:hAnsi="Verdana"/>
              <w:noProof/>
              <w:sz w:val="20"/>
              <w:szCs w:val="20"/>
              <w:lang w:val="fr-LU" w:eastAsia="fr-LU"/>
            </w:rPr>
          </w:pPr>
          <w:hyperlink w:anchor="_Toc22716612" w:history="1">
            <w:r w:rsidR="00B6671E" w:rsidRPr="0019485F">
              <w:rPr>
                <w:rStyle w:val="Hyperlink"/>
                <w:rFonts w:ascii="Verdana" w:hAnsi="Verdana"/>
                <w:noProof/>
                <w:sz w:val="20"/>
                <w:szCs w:val="20"/>
              </w:rPr>
              <w:t>6.14.</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Business &amp; Strategy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_Toc22716612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25</w:t>
            </w:r>
            <w:r w:rsidR="00B6671E" w:rsidRPr="0019485F">
              <w:rPr>
                <w:rFonts w:ascii="Verdana" w:hAnsi="Verdana"/>
                <w:noProof/>
                <w:webHidden/>
                <w:sz w:val="20"/>
                <w:szCs w:val="20"/>
              </w:rPr>
              <w:fldChar w:fldCharType="end"/>
            </w:r>
          </w:hyperlink>
        </w:p>
        <w:p w14:paraId="57EF800B" w14:textId="77777777" w:rsidR="00B6671E" w:rsidRPr="0019485F" w:rsidRDefault="00EE3D3D">
          <w:pPr>
            <w:pStyle w:val="TOC2"/>
            <w:tabs>
              <w:tab w:val="left" w:pos="1100"/>
              <w:tab w:val="right" w:leader="dot" w:pos="9350"/>
            </w:tabs>
            <w:rPr>
              <w:rFonts w:ascii="Verdana" w:hAnsi="Verdana"/>
              <w:noProof/>
              <w:sz w:val="20"/>
              <w:szCs w:val="20"/>
              <w:lang w:val="fr-LU" w:eastAsia="fr-LU"/>
            </w:rPr>
          </w:pPr>
          <w:hyperlink w:anchor="_Toc22716613" w:history="1">
            <w:r w:rsidR="00B6671E" w:rsidRPr="0019485F">
              <w:rPr>
                <w:rStyle w:val="Hyperlink"/>
                <w:rFonts w:ascii="Verdana" w:hAnsi="Verdana"/>
                <w:noProof/>
                <w:sz w:val="20"/>
                <w:szCs w:val="20"/>
              </w:rPr>
              <w:t>6.15.</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Reputational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_Toc22716613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26</w:t>
            </w:r>
            <w:r w:rsidR="00B6671E" w:rsidRPr="0019485F">
              <w:rPr>
                <w:rFonts w:ascii="Verdana" w:hAnsi="Verdana"/>
                <w:noProof/>
                <w:webHidden/>
                <w:sz w:val="20"/>
                <w:szCs w:val="20"/>
              </w:rPr>
              <w:fldChar w:fldCharType="end"/>
            </w:r>
          </w:hyperlink>
        </w:p>
        <w:p w14:paraId="1A0FFEB7"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614" w:history="1">
            <w:r w:rsidR="00B6671E" w:rsidRPr="0019485F">
              <w:rPr>
                <w:rStyle w:val="Hyperlink"/>
                <w:rFonts w:ascii="Verdana" w:hAnsi="Verdana"/>
                <w:noProof/>
                <w:sz w:val="20"/>
                <w:szCs w:val="20"/>
              </w:rPr>
              <w:t>7.</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Asset encumbrance (Art. 443 of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_Toc22716614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26</w:t>
            </w:r>
            <w:r w:rsidR="00B6671E" w:rsidRPr="0019485F">
              <w:rPr>
                <w:rFonts w:ascii="Verdana" w:hAnsi="Verdana"/>
                <w:noProof/>
                <w:webHidden/>
                <w:sz w:val="20"/>
                <w:szCs w:val="20"/>
              </w:rPr>
              <w:fldChar w:fldCharType="end"/>
            </w:r>
          </w:hyperlink>
        </w:p>
        <w:p w14:paraId="72AB685A"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615" w:history="1">
            <w:r w:rsidR="00B6671E" w:rsidRPr="0019485F">
              <w:rPr>
                <w:rStyle w:val="Hyperlink"/>
                <w:rFonts w:ascii="Verdana" w:hAnsi="Verdana"/>
                <w:noProof/>
                <w:sz w:val="20"/>
                <w:szCs w:val="20"/>
              </w:rPr>
              <w:t>8.</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Leverage ratio (Art. 451 of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_Toc22716615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27</w:t>
            </w:r>
            <w:r w:rsidR="00B6671E" w:rsidRPr="0019485F">
              <w:rPr>
                <w:rFonts w:ascii="Verdana" w:hAnsi="Verdana"/>
                <w:noProof/>
                <w:webHidden/>
                <w:sz w:val="20"/>
                <w:szCs w:val="20"/>
              </w:rPr>
              <w:fldChar w:fldCharType="end"/>
            </w:r>
          </w:hyperlink>
        </w:p>
        <w:p w14:paraId="34CF358A" w14:textId="77777777" w:rsidR="00B6671E" w:rsidRPr="0019485F" w:rsidRDefault="00EE3D3D">
          <w:pPr>
            <w:pStyle w:val="TOC1"/>
            <w:tabs>
              <w:tab w:val="left" w:pos="440"/>
              <w:tab w:val="right" w:leader="dot" w:pos="9350"/>
            </w:tabs>
            <w:rPr>
              <w:rFonts w:ascii="Verdana" w:hAnsi="Verdana"/>
              <w:noProof/>
              <w:sz w:val="20"/>
              <w:szCs w:val="20"/>
              <w:lang w:val="fr-LU" w:eastAsia="fr-LU"/>
            </w:rPr>
          </w:pPr>
          <w:hyperlink w:anchor="_Toc22716616" w:history="1">
            <w:r w:rsidR="00B6671E" w:rsidRPr="0019485F">
              <w:rPr>
                <w:rStyle w:val="Hyperlink"/>
                <w:rFonts w:ascii="Verdana" w:hAnsi="Verdana"/>
                <w:noProof/>
                <w:sz w:val="20"/>
                <w:szCs w:val="20"/>
              </w:rPr>
              <w:t>9.</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Remuneration policy (Art. 450 of CRR)</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_Toc22716616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27</w:t>
            </w:r>
            <w:r w:rsidR="00B6671E" w:rsidRPr="0019485F">
              <w:rPr>
                <w:rFonts w:ascii="Verdana" w:hAnsi="Verdana"/>
                <w:noProof/>
                <w:webHidden/>
                <w:sz w:val="20"/>
                <w:szCs w:val="20"/>
              </w:rPr>
              <w:fldChar w:fldCharType="end"/>
            </w:r>
          </w:hyperlink>
        </w:p>
        <w:p w14:paraId="0C45B7E4"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17" w:history="1">
            <w:r w:rsidR="00B6671E" w:rsidRPr="0019485F">
              <w:rPr>
                <w:rStyle w:val="Hyperlink"/>
                <w:rFonts w:ascii="Verdana" w:hAnsi="Verdana"/>
                <w:noProof/>
                <w:sz w:val="20"/>
                <w:szCs w:val="20"/>
              </w:rPr>
              <w:t>9.1.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Governance</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_Toc22716617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27</w:t>
            </w:r>
            <w:r w:rsidR="00B6671E" w:rsidRPr="0019485F">
              <w:rPr>
                <w:rFonts w:ascii="Verdana" w:hAnsi="Verdana"/>
                <w:noProof/>
                <w:webHidden/>
                <w:sz w:val="20"/>
                <w:szCs w:val="20"/>
              </w:rPr>
              <w:fldChar w:fldCharType="end"/>
            </w:r>
          </w:hyperlink>
        </w:p>
        <w:p w14:paraId="69AC679D"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618" w:history="1">
            <w:r w:rsidR="00B6671E" w:rsidRPr="0019485F">
              <w:rPr>
                <w:rStyle w:val="Hyperlink"/>
                <w:rFonts w:ascii="Verdana" w:hAnsi="Verdana"/>
                <w:noProof/>
                <w:sz w:val="20"/>
                <w:szCs w:val="20"/>
              </w:rPr>
              <w:t>9.1.1.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Board of Directors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_Toc22716618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27</w:t>
            </w:r>
            <w:r w:rsidR="00B6671E" w:rsidRPr="0019485F">
              <w:rPr>
                <w:rFonts w:ascii="Verdana" w:hAnsi="Verdana"/>
                <w:noProof/>
                <w:webHidden/>
                <w:sz w:val="20"/>
                <w:szCs w:val="20"/>
              </w:rPr>
              <w:fldChar w:fldCharType="end"/>
            </w:r>
          </w:hyperlink>
        </w:p>
        <w:p w14:paraId="160FDE4F"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619" w:history="1">
            <w:r w:rsidR="00B6671E" w:rsidRPr="0019485F">
              <w:rPr>
                <w:rStyle w:val="Hyperlink"/>
                <w:rFonts w:ascii="Verdana" w:hAnsi="Verdana"/>
                <w:noProof/>
                <w:sz w:val="20"/>
                <w:szCs w:val="20"/>
              </w:rPr>
              <w:t>9.1.2.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Set up and monitoring of the remuneration</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_Toc22716619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27</w:t>
            </w:r>
            <w:r w:rsidR="00B6671E" w:rsidRPr="0019485F">
              <w:rPr>
                <w:rFonts w:ascii="Verdana" w:hAnsi="Verdana"/>
                <w:noProof/>
                <w:webHidden/>
                <w:sz w:val="20"/>
                <w:szCs w:val="20"/>
              </w:rPr>
              <w:fldChar w:fldCharType="end"/>
            </w:r>
          </w:hyperlink>
        </w:p>
        <w:p w14:paraId="79D0423B"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20" w:history="1">
            <w:r w:rsidR="00B6671E" w:rsidRPr="0019485F">
              <w:rPr>
                <w:rStyle w:val="Hyperlink"/>
                <w:rFonts w:ascii="Verdana" w:hAnsi="Verdana"/>
                <w:noProof/>
                <w:sz w:val="20"/>
                <w:szCs w:val="20"/>
              </w:rPr>
              <w:t>9.2.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Pay and performance</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_Toc22716620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28</w:t>
            </w:r>
            <w:r w:rsidR="00B6671E" w:rsidRPr="0019485F">
              <w:rPr>
                <w:rFonts w:ascii="Verdana" w:hAnsi="Verdana"/>
                <w:noProof/>
                <w:webHidden/>
                <w:sz w:val="20"/>
                <w:szCs w:val="20"/>
              </w:rPr>
              <w:fldChar w:fldCharType="end"/>
            </w:r>
          </w:hyperlink>
        </w:p>
        <w:p w14:paraId="4589C0DA"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621" w:history="1">
            <w:r w:rsidR="00B6671E" w:rsidRPr="0019485F">
              <w:rPr>
                <w:rStyle w:val="Hyperlink"/>
                <w:rFonts w:ascii="Verdana" w:hAnsi="Verdana"/>
                <w:noProof/>
                <w:sz w:val="20"/>
                <w:szCs w:val="20"/>
              </w:rPr>
              <w:t>9.2.1.</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Performance criteria</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_Toc22716621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28</w:t>
            </w:r>
            <w:r w:rsidR="00B6671E" w:rsidRPr="0019485F">
              <w:rPr>
                <w:rFonts w:ascii="Verdana" w:hAnsi="Verdana"/>
                <w:noProof/>
                <w:webHidden/>
                <w:sz w:val="20"/>
                <w:szCs w:val="20"/>
              </w:rPr>
              <w:fldChar w:fldCharType="end"/>
            </w:r>
          </w:hyperlink>
        </w:p>
        <w:p w14:paraId="50B848EE"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622" w:history="1">
            <w:r w:rsidR="00B6671E" w:rsidRPr="0019485F">
              <w:rPr>
                <w:rStyle w:val="Hyperlink"/>
                <w:rFonts w:ascii="Verdana" w:hAnsi="Verdana"/>
                <w:noProof/>
                <w:sz w:val="20"/>
                <w:szCs w:val="20"/>
              </w:rPr>
              <w:t>9.2.2.</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Fixed remuneration</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_Toc22716622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28</w:t>
            </w:r>
            <w:r w:rsidR="00B6671E" w:rsidRPr="0019485F">
              <w:rPr>
                <w:rFonts w:ascii="Verdana" w:hAnsi="Verdana"/>
                <w:noProof/>
                <w:webHidden/>
                <w:sz w:val="20"/>
                <w:szCs w:val="20"/>
              </w:rPr>
              <w:fldChar w:fldCharType="end"/>
            </w:r>
          </w:hyperlink>
        </w:p>
        <w:p w14:paraId="48D2B537" w14:textId="77777777" w:rsidR="00B6671E" w:rsidRPr="0019485F" w:rsidRDefault="00EE3D3D">
          <w:pPr>
            <w:pStyle w:val="TOC3"/>
            <w:tabs>
              <w:tab w:val="left" w:pos="1320"/>
              <w:tab w:val="right" w:leader="dot" w:pos="9350"/>
            </w:tabs>
            <w:rPr>
              <w:rFonts w:ascii="Verdana" w:hAnsi="Verdana"/>
              <w:noProof/>
              <w:sz w:val="20"/>
              <w:szCs w:val="20"/>
              <w:lang w:val="fr-LU" w:eastAsia="fr-LU"/>
            </w:rPr>
          </w:pPr>
          <w:hyperlink w:anchor="_Toc22716623" w:history="1">
            <w:r w:rsidR="00B6671E" w:rsidRPr="0019485F">
              <w:rPr>
                <w:rStyle w:val="Hyperlink"/>
                <w:rFonts w:ascii="Verdana" w:hAnsi="Verdana"/>
                <w:noProof/>
                <w:sz w:val="20"/>
                <w:szCs w:val="20"/>
              </w:rPr>
              <w:t>9.2.3.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Variable remuneration</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_Toc22716623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28</w:t>
            </w:r>
            <w:r w:rsidR="00B6671E" w:rsidRPr="0019485F">
              <w:rPr>
                <w:rFonts w:ascii="Verdana" w:hAnsi="Verdana"/>
                <w:noProof/>
                <w:webHidden/>
                <w:sz w:val="20"/>
                <w:szCs w:val="20"/>
              </w:rPr>
              <w:fldChar w:fldCharType="end"/>
            </w:r>
          </w:hyperlink>
        </w:p>
        <w:p w14:paraId="567EE841" w14:textId="77777777" w:rsidR="00B6671E" w:rsidRPr="0019485F" w:rsidRDefault="00EE3D3D">
          <w:pPr>
            <w:pStyle w:val="TOC2"/>
            <w:tabs>
              <w:tab w:val="left" w:pos="880"/>
              <w:tab w:val="right" w:leader="dot" w:pos="9350"/>
            </w:tabs>
            <w:rPr>
              <w:rFonts w:ascii="Verdana" w:hAnsi="Verdana"/>
              <w:noProof/>
              <w:sz w:val="20"/>
              <w:szCs w:val="20"/>
              <w:lang w:val="fr-LU" w:eastAsia="fr-LU"/>
            </w:rPr>
          </w:pPr>
          <w:hyperlink w:anchor="_Toc22716624" w:history="1">
            <w:r w:rsidR="00B6671E" w:rsidRPr="0019485F">
              <w:rPr>
                <w:rStyle w:val="Hyperlink"/>
                <w:rFonts w:ascii="Verdana" w:hAnsi="Verdana"/>
                <w:noProof/>
                <w:sz w:val="20"/>
                <w:szCs w:val="20"/>
              </w:rPr>
              <w:t>9.3.</w:t>
            </w:r>
            <w:r w:rsidR="00B6671E" w:rsidRPr="0019485F">
              <w:rPr>
                <w:rFonts w:ascii="Verdana" w:hAnsi="Verdana"/>
                <w:noProof/>
                <w:sz w:val="20"/>
                <w:szCs w:val="20"/>
                <w:lang w:val="fr-LU" w:eastAsia="fr-LU"/>
              </w:rPr>
              <w:tab/>
            </w:r>
            <w:r w:rsidR="00B6671E" w:rsidRPr="0019485F">
              <w:rPr>
                <w:rStyle w:val="Hyperlink"/>
                <w:rFonts w:ascii="Verdana" w:hAnsi="Verdana"/>
                <w:noProof/>
                <w:sz w:val="20"/>
                <w:szCs w:val="20"/>
              </w:rPr>
              <w:t>Remuneration of Management</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_Toc22716624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386551">
              <w:rPr>
                <w:rFonts w:ascii="Verdana" w:hAnsi="Verdana"/>
                <w:noProof/>
                <w:webHidden/>
                <w:sz w:val="20"/>
                <w:szCs w:val="20"/>
              </w:rPr>
              <w:t>29</w:t>
            </w:r>
            <w:r w:rsidR="00B6671E" w:rsidRPr="0019485F">
              <w:rPr>
                <w:rFonts w:ascii="Verdana" w:hAnsi="Verdana"/>
                <w:noProof/>
                <w:webHidden/>
                <w:sz w:val="20"/>
                <w:szCs w:val="20"/>
              </w:rPr>
              <w:fldChar w:fldCharType="end"/>
            </w:r>
          </w:hyperlink>
        </w:p>
        <w:p w14:paraId="306C4D9E" w14:textId="17770747" w:rsidR="00996BCE" w:rsidRPr="0019485F" w:rsidRDefault="00996BCE">
          <w:pPr>
            <w:rPr>
              <w:rFonts w:ascii="Verdana" w:hAnsi="Verdana"/>
              <w:sz w:val="20"/>
              <w:szCs w:val="20"/>
            </w:rPr>
          </w:pPr>
          <w:r w:rsidRPr="0019485F">
            <w:rPr>
              <w:rFonts w:ascii="Verdana" w:hAnsi="Verdana"/>
              <w:noProof/>
              <w:sz w:val="20"/>
              <w:szCs w:val="20"/>
            </w:rPr>
            <w:fldChar w:fldCharType="end"/>
          </w:r>
        </w:p>
      </w:sdtContent>
    </w:sdt>
    <w:p w14:paraId="6AE51385" w14:textId="1B3F83F6" w:rsidR="005023AF" w:rsidRPr="0019485F" w:rsidRDefault="005023AF">
      <w:pPr>
        <w:rPr>
          <w:rFonts w:ascii="Verdana" w:hAnsi="Verdana"/>
          <w:sz w:val="20"/>
          <w:szCs w:val="20"/>
          <w:lang w:val="fr-LU"/>
        </w:rPr>
      </w:pPr>
    </w:p>
    <w:p w14:paraId="1D6C2EBD" w14:textId="77777777" w:rsidR="009F6F24" w:rsidRPr="0019485F" w:rsidRDefault="009F6F24" w:rsidP="007E7755">
      <w:pPr>
        <w:pStyle w:val="Heading4"/>
        <w:rPr>
          <w:rFonts w:ascii="Verdana" w:hAnsi="Verdana"/>
        </w:rPr>
      </w:pPr>
    </w:p>
    <w:p w14:paraId="2DCE09C5" w14:textId="77777777" w:rsidR="009F6F24" w:rsidRPr="0019485F" w:rsidRDefault="009F6F24" w:rsidP="007E7755">
      <w:pPr>
        <w:pStyle w:val="Heading4"/>
        <w:rPr>
          <w:rFonts w:ascii="Verdana" w:hAnsi="Verdana"/>
        </w:rPr>
      </w:pPr>
    </w:p>
    <w:p w14:paraId="069E6D55" w14:textId="77777777" w:rsidR="009F6F24" w:rsidRPr="0019485F" w:rsidRDefault="009F6F24" w:rsidP="007E7755">
      <w:pPr>
        <w:pStyle w:val="Heading4"/>
        <w:rPr>
          <w:rFonts w:ascii="Verdana" w:hAnsi="Verdana"/>
        </w:rPr>
      </w:pPr>
    </w:p>
    <w:p w14:paraId="14B44964" w14:textId="77777777" w:rsidR="009F6F24" w:rsidRPr="0019485F" w:rsidRDefault="009F6F24" w:rsidP="007E7755">
      <w:pPr>
        <w:pStyle w:val="Heading4"/>
        <w:rPr>
          <w:rFonts w:ascii="Verdana" w:hAnsi="Verdana"/>
        </w:rPr>
      </w:pPr>
    </w:p>
    <w:p w14:paraId="1EACA883" w14:textId="77777777" w:rsidR="009F6F24" w:rsidRPr="0019485F" w:rsidRDefault="009F6F24" w:rsidP="007E7755">
      <w:pPr>
        <w:pStyle w:val="Heading4"/>
        <w:rPr>
          <w:rFonts w:ascii="Verdana" w:hAnsi="Verdana"/>
        </w:rPr>
      </w:pPr>
    </w:p>
    <w:p w14:paraId="3410C0AA" w14:textId="77777777" w:rsidR="009F6F24" w:rsidRPr="0019485F" w:rsidRDefault="009F6F24" w:rsidP="007E7755">
      <w:pPr>
        <w:pStyle w:val="Heading4"/>
        <w:rPr>
          <w:rFonts w:ascii="Verdana" w:hAnsi="Verdana"/>
        </w:rPr>
      </w:pPr>
    </w:p>
    <w:p w14:paraId="38FBA322" w14:textId="77777777" w:rsidR="009F6F24" w:rsidRPr="0019485F" w:rsidRDefault="009F6F24" w:rsidP="007E7755">
      <w:pPr>
        <w:pStyle w:val="Heading4"/>
        <w:rPr>
          <w:rFonts w:ascii="Verdana" w:hAnsi="Verdana"/>
        </w:rPr>
      </w:pPr>
    </w:p>
    <w:p w14:paraId="6430197C" w14:textId="77777777" w:rsidR="009F6F24" w:rsidRPr="0019485F" w:rsidRDefault="009F6F24" w:rsidP="007E7755">
      <w:pPr>
        <w:pStyle w:val="Heading4"/>
        <w:rPr>
          <w:rFonts w:ascii="Verdana" w:hAnsi="Verdana"/>
        </w:rPr>
      </w:pPr>
    </w:p>
    <w:p w14:paraId="0B4B4308" w14:textId="77777777" w:rsidR="009F6F24" w:rsidRPr="0019485F" w:rsidRDefault="009F6F24" w:rsidP="007E7755">
      <w:pPr>
        <w:pStyle w:val="Heading4"/>
        <w:rPr>
          <w:rFonts w:ascii="Verdana" w:hAnsi="Verdana"/>
        </w:rPr>
      </w:pPr>
    </w:p>
    <w:p w14:paraId="2099DA61" w14:textId="77777777" w:rsidR="009F6F24" w:rsidRPr="0019485F" w:rsidRDefault="009F6F24">
      <w:pPr>
        <w:jc w:val="left"/>
        <w:rPr>
          <w:rFonts w:ascii="Verdana" w:eastAsiaTheme="majorEastAsia" w:hAnsi="Verdana" w:cstheme="majorBidi"/>
          <w:b/>
          <w:color w:val="C00000"/>
          <w:sz w:val="24"/>
          <w:szCs w:val="24"/>
          <w:lang w:val="fr-LU"/>
        </w:rPr>
      </w:pPr>
      <w:r w:rsidRPr="0019485F">
        <w:rPr>
          <w:rFonts w:ascii="Verdana" w:hAnsi="Verdana"/>
        </w:rPr>
        <w:br w:type="page"/>
      </w:r>
    </w:p>
    <w:p w14:paraId="68A8E9D4" w14:textId="1C2E6678" w:rsidR="00D42EF5" w:rsidRPr="0019485F" w:rsidRDefault="00D42EF5" w:rsidP="00042F16">
      <w:pPr>
        <w:pStyle w:val="Heading4"/>
        <w:spacing w:before="0" w:after="100"/>
        <w:rPr>
          <w:rFonts w:ascii="Verdana" w:hAnsi="Verdana"/>
          <w:color w:val="6CACE4"/>
          <w:sz w:val="22"/>
          <w:szCs w:val="22"/>
        </w:rPr>
      </w:pPr>
      <w:r w:rsidRPr="0019485F">
        <w:rPr>
          <w:rFonts w:ascii="Verdana" w:hAnsi="Verdana"/>
          <w:color w:val="6CACE4"/>
          <w:sz w:val="22"/>
          <w:szCs w:val="22"/>
        </w:rPr>
        <w:lastRenderedPageBreak/>
        <w:t>List of Tables</w:t>
      </w:r>
    </w:p>
    <w:p w14:paraId="12679E01" w14:textId="77777777" w:rsidR="00851FCD" w:rsidRPr="0019485F" w:rsidRDefault="00851FCD" w:rsidP="00042F16">
      <w:pPr>
        <w:pStyle w:val="TableofFigures"/>
        <w:tabs>
          <w:tab w:val="right" w:leader="dot" w:pos="9350"/>
        </w:tabs>
        <w:spacing w:after="100"/>
        <w:rPr>
          <w:rFonts w:ascii="Verdana" w:hAnsi="Verdana"/>
          <w:lang w:val="fr-LU"/>
        </w:rPr>
      </w:pPr>
    </w:p>
    <w:p w14:paraId="67C32B4C" w14:textId="6DF2401B" w:rsidR="00B6671E" w:rsidRPr="0019485F" w:rsidRDefault="0029542A" w:rsidP="00042F16">
      <w:pPr>
        <w:pStyle w:val="TableofFigures"/>
        <w:tabs>
          <w:tab w:val="right" w:leader="dot" w:pos="9350"/>
        </w:tabs>
        <w:spacing w:after="100"/>
        <w:rPr>
          <w:rFonts w:ascii="Verdana" w:hAnsi="Verdana"/>
          <w:noProof/>
          <w:sz w:val="20"/>
          <w:szCs w:val="20"/>
          <w:lang w:val="fr-LU" w:eastAsia="fr-LU"/>
        </w:rPr>
      </w:pPr>
      <w:r w:rsidRPr="0019485F">
        <w:rPr>
          <w:rFonts w:ascii="Verdana" w:hAnsi="Verdana"/>
          <w:sz w:val="20"/>
          <w:szCs w:val="20"/>
          <w:lang w:val="fr-LU"/>
        </w:rPr>
        <w:fldChar w:fldCharType="begin"/>
      </w:r>
      <w:r w:rsidRPr="0019485F">
        <w:rPr>
          <w:rFonts w:ascii="Verdana" w:hAnsi="Verdana"/>
          <w:sz w:val="20"/>
          <w:szCs w:val="20"/>
          <w:lang w:val="fr-LU"/>
        </w:rPr>
        <w:instrText xml:space="preserve"> TOC \h \z \c "Table" </w:instrText>
      </w:r>
      <w:r w:rsidRPr="0019485F">
        <w:rPr>
          <w:rFonts w:ascii="Verdana" w:hAnsi="Verdana"/>
          <w:sz w:val="20"/>
          <w:szCs w:val="20"/>
          <w:lang w:val="fr-LU"/>
        </w:rPr>
        <w:fldChar w:fldCharType="separate"/>
      </w:r>
      <w:hyperlink w:anchor="_Toc22716625" w:history="1">
        <w:r w:rsidR="00B6671E" w:rsidRPr="0019485F">
          <w:rPr>
            <w:rStyle w:val="Hyperlink"/>
            <w:rFonts w:ascii="Verdana" w:hAnsi="Verdana"/>
            <w:noProof/>
            <w:sz w:val="20"/>
            <w:szCs w:val="20"/>
          </w:rPr>
          <w:t>Table 1: Number of directorships held by members of the management</w:t>
        </w:r>
        <w:r w:rsidR="00B6671E" w:rsidRPr="0019485F">
          <w:rPr>
            <w:rFonts w:ascii="Verdana" w:hAnsi="Verdana"/>
            <w:noProof/>
            <w:webHidden/>
            <w:sz w:val="20"/>
            <w:szCs w:val="20"/>
          </w:rPr>
          <w:tab/>
        </w:r>
        <w:r w:rsidR="00650143">
          <w:rPr>
            <w:rFonts w:ascii="Verdana" w:hAnsi="Verdana"/>
            <w:noProof/>
            <w:webHidden/>
            <w:sz w:val="20"/>
            <w:szCs w:val="20"/>
          </w:rPr>
          <w:t>7</w:t>
        </w:r>
      </w:hyperlink>
    </w:p>
    <w:p w14:paraId="45610150" w14:textId="6463EFA8"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26" w:history="1">
        <w:r w:rsidR="00B6671E" w:rsidRPr="0019485F">
          <w:rPr>
            <w:rStyle w:val="Hyperlink"/>
            <w:rFonts w:ascii="Verdana" w:hAnsi="Verdana"/>
            <w:noProof/>
            <w:sz w:val="20"/>
            <w:szCs w:val="20"/>
          </w:rPr>
          <w:t>Table 2 : Risk reporting within CapitalatWork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_Toc22716626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1</w:t>
        </w:r>
        <w:r w:rsidR="00B6671E" w:rsidRPr="0019485F">
          <w:rPr>
            <w:rFonts w:ascii="Verdana" w:hAnsi="Verdana"/>
            <w:noProof/>
            <w:webHidden/>
            <w:sz w:val="20"/>
            <w:szCs w:val="20"/>
          </w:rPr>
          <w:fldChar w:fldCharType="end"/>
        </w:r>
      </w:hyperlink>
      <w:r w:rsidR="00650143">
        <w:rPr>
          <w:rFonts w:ascii="Verdana" w:hAnsi="Verdana"/>
          <w:noProof/>
          <w:sz w:val="20"/>
          <w:szCs w:val="20"/>
        </w:rPr>
        <w:t>1</w:t>
      </w:r>
    </w:p>
    <w:p w14:paraId="357C39D2" w14:textId="0A641F47"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27" w:history="1">
        <w:r w:rsidR="00B6671E" w:rsidRPr="0019485F">
          <w:rPr>
            <w:rStyle w:val="Hyperlink"/>
            <w:rFonts w:ascii="Verdana" w:hAnsi="Verdana"/>
            <w:noProof/>
            <w:sz w:val="20"/>
            <w:szCs w:val="20"/>
          </w:rPr>
          <w:t>Table 3: Composition of the Remuneration and Nomination Committee</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_Toc22716627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1</w:t>
        </w:r>
        <w:r w:rsidR="00B6671E" w:rsidRPr="0019485F">
          <w:rPr>
            <w:rFonts w:ascii="Verdana" w:hAnsi="Verdana"/>
            <w:noProof/>
            <w:webHidden/>
            <w:sz w:val="20"/>
            <w:szCs w:val="20"/>
          </w:rPr>
          <w:fldChar w:fldCharType="end"/>
        </w:r>
      </w:hyperlink>
      <w:r w:rsidR="00650143">
        <w:rPr>
          <w:rFonts w:ascii="Verdana" w:hAnsi="Verdana"/>
          <w:noProof/>
          <w:sz w:val="20"/>
          <w:szCs w:val="20"/>
        </w:rPr>
        <w:t>2</w:t>
      </w:r>
    </w:p>
    <w:p w14:paraId="79C30C5F" w14:textId="62D82713"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28" w:history="1">
        <w:r w:rsidR="00B6671E" w:rsidRPr="0019485F">
          <w:rPr>
            <w:rStyle w:val="Hyperlink"/>
            <w:rFonts w:ascii="Verdana" w:hAnsi="Verdana"/>
            <w:noProof/>
            <w:sz w:val="20"/>
            <w:szCs w:val="20"/>
          </w:rPr>
          <w:t>Table 4: Reconciliation of Common Equity Tier 1 between prudential and accounting view</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_Toc22716628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1</w:t>
        </w:r>
        <w:r w:rsidR="00B6671E" w:rsidRPr="0019485F">
          <w:rPr>
            <w:rFonts w:ascii="Verdana" w:hAnsi="Verdana"/>
            <w:noProof/>
            <w:webHidden/>
            <w:sz w:val="20"/>
            <w:szCs w:val="20"/>
          </w:rPr>
          <w:fldChar w:fldCharType="end"/>
        </w:r>
      </w:hyperlink>
      <w:r w:rsidR="00934729">
        <w:rPr>
          <w:rFonts w:ascii="Verdana" w:hAnsi="Verdana"/>
          <w:noProof/>
          <w:sz w:val="20"/>
          <w:szCs w:val="20"/>
        </w:rPr>
        <w:t>2</w:t>
      </w:r>
    </w:p>
    <w:p w14:paraId="4ABE859B" w14:textId="1F3CEB90"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29" w:history="1">
        <w:r w:rsidR="00B6671E" w:rsidRPr="0019485F">
          <w:rPr>
            <w:rStyle w:val="Hyperlink"/>
            <w:rFonts w:ascii="Verdana" w:hAnsi="Verdana"/>
            <w:noProof/>
            <w:sz w:val="20"/>
            <w:szCs w:val="20"/>
          </w:rPr>
          <w:t>Table 5 : Own Funds of Th</w:t>
        </w:r>
        <w:r>
          <w:rPr>
            <w:rStyle w:val="Hyperlink"/>
            <w:rFonts w:ascii="Verdana" w:hAnsi="Verdana"/>
            <w:noProof/>
            <w:sz w:val="20"/>
            <w:szCs w:val="20"/>
          </w:rPr>
          <w:t>e Company as of 31 December 2019</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_Toc22716629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1</w:t>
        </w:r>
        <w:r w:rsidR="00B6671E" w:rsidRPr="0019485F">
          <w:rPr>
            <w:rFonts w:ascii="Verdana" w:hAnsi="Verdana"/>
            <w:noProof/>
            <w:webHidden/>
            <w:sz w:val="20"/>
            <w:szCs w:val="20"/>
          </w:rPr>
          <w:fldChar w:fldCharType="end"/>
        </w:r>
      </w:hyperlink>
      <w:r w:rsidR="00650143">
        <w:rPr>
          <w:rFonts w:ascii="Verdana" w:hAnsi="Verdana"/>
          <w:noProof/>
          <w:sz w:val="20"/>
          <w:szCs w:val="20"/>
        </w:rPr>
        <w:t>3</w:t>
      </w:r>
    </w:p>
    <w:p w14:paraId="0A187722" w14:textId="4CBABE91"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30" w:history="1">
        <w:r w:rsidR="00B6671E" w:rsidRPr="0019485F">
          <w:rPr>
            <w:rStyle w:val="Hyperlink"/>
            <w:rFonts w:ascii="Verdana" w:hAnsi="Verdana"/>
            <w:noProof/>
            <w:sz w:val="20"/>
            <w:szCs w:val="20"/>
          </w:rPr>
          <w:t>Table 6:  Breakdown of Pillar I capital requirements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_Toc22716630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1</w:t>
        </w:r>
        <w:r w:rsidR="00B6671E" w:rsidRPr="0019485F">
          <w:rPr>
            <w:rFonts w:ascii="Verdana" w:hAnsi="Verdana"/>
            <w:noProof/>
            <w:webHidden/>
            <w:sz w:val="20"/>
            <w:szCs w:val="20"/>
          </w:rPr>
          <w:fldChar w:fldCharType="end"/>
        </w:r>
      </w:hyperlink>
      <w:r w:rsidR="00650143">
        <w:rPr>
          <w:rFonts w:ascii="Verdana" w:hAnsi="Verdana"/>
          <w:noProof/>
          <w:sz w:val="20"/>
          <w:szCs w:val="20"/>
        </w:rPr>
        <w:t>4</w:t>
      </w:r>
    </w:p>
    <w:p w14:paraId="679F1570" w14:textId="794DF772"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31" w:history="1">
        <w:r w:rsidR="00B6671E" w:rsidRPr="0019485F">
          <w:rPr>
            <w:rStyle w:val="Hyperlink"/>
            <w:rFonts w:ascii="Verdana" w:hAnsi="Verdana"/>
            <w:noProof/>
            <w:sz w:val="20"/>
            <w:szCs w:val="20"/>
          </w:rPr>
          <w:t>Table 7 :  ICAAP relevant risks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_Toc22716631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1</w:t>
        </w:r>
        <w:r w:rsidR="00B6671E" w:rsidRPr="0019485F">
          <w:rPr>
            <w:rFonts w:ascii="Verdana" w:hAnsi="Verdana"/>
            <w:noProof/>
            <w:webHidden/>
            <w:sz w:val="20"/>
            <w:szCs w:val="20"/>
          </w:rPr>
          <w:fldChar w:fldCharType="end"/>
        </w:r>
      </w:hyperlink>
      <w:r w:rsidR="00650143">
        <w:rPr>
          <w:rFonts w:ascii="Verdana" w:hAnsi="Verdana"/>
          <w:noProof/>
          <w:sz w:val="20"/>
          <w:szCs w:val="20"/>
        </w:rPr>
        <w:t>6</w:t>
      </w:r>
    </w:p>
    <w:p w14:paraId="5D064B78" w14:textId="72476820"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32" w:history="1">
        <w:r w:rsidR="00B6671E" w:rsidRPr="0019485F">
          <w:rPr>
            <w:rStyle w:val="Hyperlink"/>
            <w:rFonts w:ascii="Verdana" w:hAnsi="Verdana"/>
            <w:noProof/>
            <w:sz w:val="20"/>
            <w:szCs w:val="20"/>
          </w:rPr>
          <w:t>Table 8 : The Company’s exposure to credit</w:t>
        </w:r>
        <w:r>
          <w:rPr>
            <w:rStyle w:val="Hyperlink"/>
            <w:rFonts w:ascii="Verdana" w:hAnsi="Verdana"/>
            <w:noProof/>
            <w:sz w:val="20"/>
            <w:szCs w:val="20"/>
          </w:rPr>
          <w:t xml:space="preserve"> risk as of 31 December 2019</w:t>
        </w:r>
        <w:r w:rsidR="00650143">
          <w:rPr>
            <w:rStyle w:val="Hyperlink"/>
            <w:rFonts w:ascii="Verdana" w:hAnsi="Verdana"/>
            <w:noProof/>
            <w:sz w:val="20"/>
            <w:szCs w:val="20"/>
          </w:rPr>
          <w:t xml:space="preserve"> &amp;</w:t>
        </w:r>
        <w:r>
          <w:rPr>
            <w:rStyle w:val="Hyperlink"/>
            <w:rFonts w:ascii="Verdana" w:hAnsi="Verdana"/>
            <w:noProof/>
            <w:sz w:val="20"/>
            <w:szCs w:val="20"/>
          </w:rPr>
          <w:t xml:space="preserve"> 2019</w:t>
        </w:r>
        <w:r w:rsidR="00B6671E" w:rsidRPr="0019485F">
          <w:rPr>
            <w:rStyle w:val="Hyperlink"/>
            <w:rFonts w:ascii="Verdana" w:hAnsi="Verdana"/>
            <w:noProof/>
            <w:sz w:val="20"/>
            <w:szCs w:val="20"/>
          </w:rPr>
          <w:t xml:space="preserve"> average</w:t>
        </w:r>
        <w:r w:rsidR="00B6671E" w:rsidRPr="0019485F">
          <w:rPr>
            <w:rFonts w:ascii="Verdana" w:hAnsi="Verdana"/>
            <w:noProof/>
            <w:webHidden/>
            <w:sz w:val="20"/>
            <w:szCs w:val="20"/>
          </w:rPr>
          <w:tab/>
        </w:r>
      </w:hyperlink>
      <w:r w:rsidR="00650143">
        <w:rPr>
          <w:rFonts w:ascii="Verdana" w:hAnsi="Verdana"/>
          <w:noProof/>
          <w:sz w:val="20"/>
          <w:szCs w:val="20"/>
        </w:rPr>
        <w:t>17</w:t>
      </w:r>
    </w:p>
    <w:p w14:paraId="558A1601" w14:textId="1A8D6C95"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33" w:history="1">
        <w:r w:rsidR="00B6671E" w:rsidRPr="0019485F">
          <w:rPr>
            <w:rStyle w:val="Hyperlink"/>
            <w:rFonts w:ascii="Verdana" w:hAnsi="Verdana"/>
            <w:noProof/>
            <w:sz w:val="20"/>
            <w:szCs w:val="20"/>
          </w:rPr>
          <w:t xml:space="preserve">Table 9 : Maturity breakdown of </w:t>
        </w:r>
        <w:r>
          <w:rPr>
            <w:rStyle w:val="Hyperlink"/>
            <w:rFonts w:ascii="Verdana" w:hAnsi="Verdana"/>
            <w:noProof/>
            <w:sz w:val="20"/>
            <w:szCs w:val="20"/>
          </w:rPr>
          <w:t>exposures as of 31 December 2019</w:t>
        </w:r>
        <w:r w:rsidR="00B6671E" w:rsidRPr="0019485F">
          <w:rPr>
            <w:rFonts w:ascii="Verdana" w:hAnsi="Verdana"/>
            <w:noProof/>
            <w:webHidden/>
            <w:sz w:val="20"/>
            <w:szCs w:val="20"/>
          </w:rPr>
          <w:tab/>
        </w:r>
      </w:hyperlink>
      <w:r w:rsidR="00650143">
        <w:rPr>
          <w:rFonts w:ascii="Verdana" w:hAnsi="Verdana"/>
          <w:noProof/>
          <w:sz w:val="20"/>
          <w:szCs w:val="20"/>
        </w:rPr>
        <w:t>17</w:t>
      </w:r>
    </w:p>
    <w:p w14:paraId="2D7B1548" w14:textId="498ACD9B" w:rsidR="00B6671E" w:rsidRPr="0019485F" w:rsidRDefault="00EE3D3D" w:rsidP="00042F16">
      <w:pPr>
        <w:pStyle w:val="TableofFigures"/>
        <w:tabs>
          <w:tab w:val="right" w:leader="dot" w:pos="9350"/>
        </w:tabs>
        <w:spacing w:after="100"/>
        <w:rPr>
          <w:rFonts w:ascii="Verdana" w:hAnsi="Verdana"/>
          <w:noProof/>
          <w:sz w:val="20"/>
          <w:szCs w:val="20"/>
          <w:lang w:val="fr-LU" w:eastAsia="fr-LU"/>
        </w:rPr>
      </w:pPr>
      <w:hyperlink w:anchor="_Toc22716634" w:history="1">
        <w:r w:rsidR="00B6671E" w:rsidRPr="0019485F">
          <w:rPr>
            <w:rStyle w:val="Hyperlink"/>
            <w:rFonts w:ascii="Verdana" w:hAnsi="Verdana"/>
            <w:noProof/>
            <w:sz w:val="20"/>
            <w:szCs w:val="20"/>
          </w:rPr>
          <w:t>Table 10 : Exposure to market risk</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_Toc22716634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2</w:t>
        </w:r>
        <w:r w:rsidR="00B6671E" w:rsidRPr="0019485F">
          <w:rPr>
            <w:rFonts w:ascii="Verdana" w:hAnsi="Verdana"/>
            <w:noProof/>
            <w:webHidden/>
            <w:sz w:val="20"/>
            <w:szCs w:val="20"/>
          </w:rPr>
          <w:fldChar w:fldCharType="end"/>
        </w:r>
      </w:hyperlink>
      <w:r w:rsidR="00650143">
        <w:rPr>
          <w:rFonts w:ascii="Verdana" w:hAnsi="Verdana"/>
          <w:noProof/>
          <w:sz w:val="20"/>
          <w:szCs w:val="20"/>
        </w:rPr>
        <w:t>0</w:t>
      </w:r>
    </w:p>
    <w:p w14:paraId="65EC3ABA" w14:textId="0000BF3C" w:rsidR="00B6671E" w:rsidRDefault="00EE3D3D" w:rsidP="00042F16">
      <w:pPr>
        <w:pStyle w:val="TableofFigures"/>
        <w:tabs>
          <w:tab w:val="right" w:leader="dot" w:pos="9350"/>
        </w:tabs>
        <w:spacing w:after="100"/>
        <w:rPr>
          <w:rFonts w:ascii="Verdana" w:hAnsi="Verdana"/>
          <w:noProof/>
          <w:sz w:val="20"/>
          <w:szCs w:val="20"/>
        </w:rPr>
      </w:pPr>
      <w:hyperlink w:anchor="_Toc22716635" w:history="1">
        <w:r>
          <w:rPr>
            <w:rStyle w:val="Hyperlink"/>
            <w:rFonts w:ascii="Verdana" w:hAnsi="Verdana"/>
            <w:noProof/>
            <w:sz w:val="20"/>
            <w:szCs w:val="20"/>
          </w:rPr>
          <w:t>Table 11 : 31/12/2019</w:t>
        </w:r>
        <w:r w:rsidR="00B6671E" w:rsidRPr="0019485F">
          <w:rPr>
            <w:rStyle w:val="Hyperlink"/>
            <w:rFonts w:ascii="Verdana" w:hAnsi="Verdana"/>
            <w:noProof/>
            <w:sz w:val="20"/>
            <w:szCs w:val="20"/>
          </w:rPr>
          <w:t xml:space="preserve"> IRRBB stress test results</w:t>
        </w:r>
        <w:r w:rsidR="00B6671E" w:rsidRPr="0019485F">
          <w:rPr>
            <w:rFonts w:ascii="Verdana" w:hAnsi="Verdana"/>
            <w:noProof/>
            <w:webHidden/>
            <w:sz w:val="20"/>
            <w:szCs w:val="20"/>
          </w:rPr>
          <w:tab/>
        </w:r>
        <w:r w:rsidR="00B6671E" w:rsidRPr="0019485F">
          <w:rPr>
            <w:rFonts w:ascii="Verdana" w:hAnsi="Verdana"/>
            <w:noProof/>
            <w:webHidden/>
            <w:sz w:val="20"/>
            <w:szCs w:val="20"/>
          </w:rPr>
          <w:fldChar w:fldCharType="begin"/>
        </w:r>
        <w:r w:rsidR="00B6671E" w:rsidRPr="0019485F">
          <w:rPr>
            <w:rFonts w:ascii="Verdana" w:hAnsi="Verdana"/>
            <w:noProof/>
            <w:webHidden/>
            <w:sz w:val="20"/>
            <w:szCs w:val="20"/>
          </w:rPr>
          <w:instrText xml:space="preserve"> PAGEREF _Toc22716635 \h </w:instrText>
        </w:r>
        <w:r w:rsidR="00B6671E" w:rsidRPr="0019485F">
          <w:rPr>
            <w:rFonts w:ascii="Verdana" w:hAnsi="Verdana"/>
            <w:noProof/>
            <w:webHidden/>
            <w:sz w:val="20"/>
            <w:szCs w:val="20"/>
          </w:rPr>
        </w:r>
        <w:r w:rsidR="00B6671E" w:rsidRPr="0019485F">
          <w:rPr>
            <w:rFonts w:ascii="Verdana" w:hAnsi="Verdana"/>
            <w:noProof/>
            <w:webHidden/>
            <w:sz w:val="20"/>
            <w:szCs w:val="20"/>
          </w:rPr>
          <w:fldChar w:fldCharType="separate"/>
        </w:r>
        <w:r w:rsidR="00E7065A" w:rsidRPr="0019485F">
          <w:rPr>
            <w:rFonts w:ascii="Verdana" w:hAnsi="Verdana"/>
            <w:noProof/>
            <w:webHidden/>
            <w:sz w:val="20"/>
            <w:szCs w:val="20"/>
          </w:rPr>
          <w:t>2</w:t>
        </w:r>
        <w:r w:rsidR="00B6671E" w:rsidRPr="0019485F">
          <w:rPr>
            <w:rFonts w:ascii="Verdana" w:hAnsi="Verdana"/>
            <w:noProof/>
            <w:webHidden/>
            <w:sz w:val="20"/>
            <w:szCs w:val="20"/>
          </w:rPr>
          <w:fldChar w:fldCharType="end"/>
        </w:r>
      </w:hyperlink>
      <w:r w:rsidR="00650143">
        <w:rPr>
          <w:rFonts w:ascii="Verdana" w:hAnsi="Verdana"/>
          <w:noProof/>
          <w:sz w:val="20"/>
          <w:szCs w:val="20"/>
        </w:rPr>
        <w:t>1</w:t>
      </w:r>
    </w:p>
    <w:p w14:paraId="01460640" w14:textId="472B4B8A" w:rsidR="00BC46FF" w:rsidRPr="00BC46FF" w:rsidRDefault="00BC46FF" w:rsidP="00BC46FF">
      <w:pPr>
        <w:rPr>
          <w:rFonts w:ascii="Verdana" w:hAnsi="Verdana"/>
          <w:sz w:val="20"/>
          <w:szCs w:val="20"/>
        </w:rPr>
      </w:pPr>
      <w:r w:rsidRPr="00BC46FF">
        <w:rPr>
          <w:rFonts w:ascii="Verdana" w:hAnsi="Verdana"/>
          <w:sz w:val="20"/>
          <w:szCs w:val="20"/>
        </w:rPr>
        <w:t xml:space="preserve">Table </w:t>
      </w:r>
      <w:proofErr w:type="gramStart"/>
      <w:r w:rsidRPr="00BC46FF">
        <w:rPr>
          <w:rFonts w:ascii="Verdana" w:hAnsi="Verdana"/>
          <w:sz w:val="20"/>
          <w:szCs w:val="20"/>
        </w:rPr>
        <w:t>12 :</w:t>
      </w:r>
      <w:proofErr w:type="gramEnd"/>
      <w:r w:rsidRPr="00BC46FF">
        <w:rPr>
          <w:rFonts w:ascii="Verdana" w:hAnsi="Verdana"/>
          <w:sz w:val="20"/>
          <w:szCs w:val="20"/>
        </w:rPr>
        <w:t xml:space="preserve"> Split between variable and fixed remuneration for financial year 201</w:t>
      </w:r>
      <w:r>
        <w:rPr>
          <w:rFonts w:ascii="Verdana" w:hAnsi="Verdana"/>
          <w:sz w:val="20"/>
          <w:szCs w:val="20"/>
        </w:rPr>
        <w:t>9</w:t>
      </w:r>
      <w:r w:rsidR="00934729" w:rsidRPr="00934729">
        <w:rPr>
          <w:rFonts w:ascii="Verdana" w:hAnsi="Verdana"/>
          <w:sz w:val="24"/>
          <w:szCs w:val="24"/>
        </w:rPr>
        <w:t>……………</w:t>
      </w:r>
      <w:r w:rsidR="00934729">
        <w:rPr>
          <w:rFonts w:ascii="Verdana" w:hAnsi="Verdana"/>
          <w:webHidden/>
          <w:sz w:val="20"/>
          <w:szCs w:val="20"/>
        </w:rPr>
        <w:t>2</w:t>
      </w:r>
      <w:r w:rsidR="00386551">
        <w:rPr>
          <w:rFonts w:ascii="Verdana" w:hAnsi="Verdana"/>
          <w:webHidden/>
          <w:sz w:val="20"/>
          <w:szCs w:val="20"/>
        </w:rPr>
        <w:t>9</w:t>
      </w:r>
    </w:p>
    <w:p w14:paraId="509CCA05" w14:textId="3EF15DF5" w:rsidR="0029542A" w:rsidRPr="00BC46FF" w:rsidRDefault="0029542A" w:rsidP="00042F16">
      <w:pPr>
        <w:spacing w:after="100"/>
        <w:rPr>
          <w:rFonts w:ascii="Verdana" w:hAnsi="Verdana"/>
        </w:rPr>
      </w:pPr>
      <w:r w:rsidRPr="0019485F">
        <w:rPr>
          <w:rFonts w:ascii="Verdana" w:hAnsi="Verdana"/>
          <w:sz w:val="20"/>
          <w:szCs w:val="20"/>
          <w:lang w:val="fr-LU"/>
        </w:rPr>
        <w:fldChar w:fldCharType="end"/>
      </w:r>
    </w:p>
    <w:p w14:paraId="1799F109" w14:textId="1C99B05E" w:rsidR="00D42EF5" w:rsidRPr="00934729" w:rsidRDefault="00D42EF5" w:rsidP="00042F16">
      <w:pPr>
        <w:pStyle w:val="Heading4"/>
        <w:spacing w:before="0" w:after="100"/>
        <w:rPr>
          <w:rFonts w:ascii="Verdana" w:hAnsi="Verdana"/>
          <w:color w:val="6CACE4"/>
          <w:sz w:val="22"/>
          <w:szCs w:val="22"/>
          <w:lang w:val="en-GB"/>
        </w:rPr>
      </w:pPr>
      <w:r w:rsidRPr="00934729">
        <w:rPr>
          <w:rFonts w:ascii="Verdana" w:hAnsi="Verdana"/>
          <w:color w:val="6CACE4"/>
          <w:sz w:val="22"/>
          <w:szCs w:val="22"/>
          <w:lang w:val="en-GB"/>
        </w:rPr>
        <w:t>List of figures</w:t>
      </w:r>
    </w:p>
    <w:p w14:paraId="772B5E72" w14:textId="77777777" w:rsidR="0019485F" w:rsidRPr="00934729" w:rsidRDefault="0019485F" w:rsidP="00042F16">
      <w:pPr>
        <w:spacing w:after="100"/>
        <w:rPr>
          <w:sz w:val="20"/>
          <w:szCs w:val="20"/>
        </w:rPr>
      </w:pPr>
    </w:p>
    <w:p w14:paraId="450B901B" w14:textId="5F9B7C2E" w:rsidR="00BF69DA" w:rsidRPr="0019485F" w:rsidRDefault="00D42EF5" w:rsidP="00042F16">
      <w:pPr>
        <w:pStyle w:val="TableofFigures"/>
        <w:tabs>
          <w:tab w:val="right" w:leader="dot" w:pos="9350"/>
        </w:tabs>
        <w:spacing w:after="100"/>
        <w:rPr>
          <w:rFonts w:ascii="Verdana" w:hAnsi="Verdana"/>
          <w:noProof/>
          <w:sz w:val="20"/>
          <w:szCs w:val="20"/>
          <w:lang w:val="en-US"/>
        </w:rPr>
      </w:pPr>
      <w:r w:rsidRPr="0019485F">
        <w:rPr>
          <w:rFonts w:ascii="Verdana" w:hAnsi="Verdana"/>
          <w:sz w:val="20"/>
          <w:szCs w:val="20"/>
          <w:lang w:val="fr-LU"/>
        </w:rPr>
        <w:fldChar w:fldCharType="begin"/>
      </w:r>
      <w:r w:rsidRPr="0019485F">
        <w:rPr>
          <w:rFonts w:ascii="Verdana" w:hAnsi="Verdana"/>
          <w:sz w:val="20"/>
          <w:szCs w:val="20"/>
          <w:lang w:val="fr-LU"/>
        </w:rPr>
        <w:instrText xml:space="preserve"> TOC \h \z \c "Figure" </w:instrText>
      </w:r>
      <w:r w:rsidRPr="0019485F">
        <w:rPr>
          <w:rFonts w:ascii="Verdana" w:hAnsi="Verdana"/>
          <w:sz w:val="20"/>
          <w:szCs w:val="20"/>
          <w:lang w:val="fr-LU"/>
        </w:rPr>
        <w:fldChar w:fldCharType="separate"/>
      </w:r>
      <w:hyperlink w:anchor="_Toc21940035" w:history="1">
        <w:r w:rsidR="00BF69DA" w:rsidRPr="0019485F">
          <w:rPr>
            <w:rStyle w:val="Hyperlink"/>
            <w:rFonts w:ascii="Verdana" w:hAnsi="Verdana"/>
            <w:noProof/>
            <w:sz w:val="20"/>
            <w:szCs w:val="20"/>
          </w:rPr>
          <w:t>Figure 1 : Basel Capital Framework – Three Pillars</w:t>
        </w:r>
        <w:r w:rsidR="00BF69DA" w:rsidRPr="0019485F">
          <w:rPr>
            <w:rFonts w:ascii="Verdana" w:hAnsi="Verdana"/>
            <w:noProof/>
            <w:webHidden/>
            <w:sz w:val="20"/>
            <w:szCs w:val="20"/>
          </w:rPr>
          <w:tab/>
        </w:r>
        <w:r w:rsidR="00BF69DA" w:rsidRPr="0019485F">
          <w:rPr>
            <w:rFonts w:ascii="Verdana" w:hAnsi="Verdana"/>
            <w:noProof/>
            <w:webHidden/>
            <w:sz w:val="20"/>
            <w:szCs w:val="20"/>
          </w:rPr>
          <w:fldChar w:fldCharType="begin"/>
        </w:r>
        <w:r w:rsidR="00BF69DA" w:rsidRPr="0019485F">
          <w:rPr>
            <w:rFonts w:ascii="Verdana" w:hAnsi="Verdana"/>
            <w:noProof/>
            <w:webHidden/>
            <w:sz w:val="20"/>
            <w:szCs w:val="20"/>
          </w:rPr>
          <w:instrText xml:space="preserve"> PAGEREF _Toc21940035 \h </w:instrText>
        </w:r>
        <w:r w:rsidR="00BF69DA" w:rsidRPr="0019485F">
          <w:rPr>
            <w:rFonts w:ascii="Verdana" w:hAnsi="Verdana"/>
            <w:noProof/>
            <w:webHidden/>
            <w:sz w:val="20"/>
            <w:szCs w:val="20"/>
          </w:rPr>
        </w:r>
        <w:r w:rsidR="00BF69DA" w:rsidRPr="0019485F">
          <w:rPr>
            <w:rFonts w:ascii="Verdana" w:hAnsi="Verdana"/>
            <w:noProof/>
            <w:webHidden/>
            <w:sz w:val="20"/>
            <w:szCs w:val="20"/>
          </w:rPr>
          <w:fldChar w:fldCharType="separate"/>
        </w:r>
        <w:r w:rsidR="00E7065A" w:rsidRPr="0019485F">
          <w:rPr>
            <w:rFonts w:ascii="Verdana" w:hAnsi="Verdana"/>
            <w:noProof/>
            <w:webHidden/>
            <w:sz w:val="20"/>
            <w:szCs w:val="20"/>
          </w:rPr>
          <w:t>5</w:t>
        </w:r>
        <w:r w:rsidR="00BF69DA" w:rsidRPr="0019485F">
          <w:rPr>
            <w:rFonts w:ascii="Verdana" w:hAnsi="Verdana"/>
            <w:noProof/>
            <w:webHidden/>
            <w:sz w:val="20"/>
            <w:szCs w:val="20"/>
          </w:rPr>
          <w:fldChar w:fldCharType="end"/>
        </w:r>
      </w:hyperlink>
    </w:p>
    <w:p w14:paraId="653BCF4A" w14:textId="77777777" w:rsidR="00502D47" w:rsidRPr="0019485F" w:rsidRDefault="00D42EF5" w:rsidP="00042F16">
      <w:pPr>
        <w:spacing w:after="100"/>
        <w:rPr>
          <w:rFonts w:ascii="Verdana" w:hAnsi="Verdana"/>
          <w:lang w:val="fr-LU"/>
        </w:rPr>
      </w:pPr>
      <w:r w:rsidRPr="0019485F">
        <w:rPr>
          <w:rFonts w:ascii="Verdana" w:hAnsi="Verdana"/>
          <w:sz w:val="20"/>
          <w:szCs w:val="20"/>
          <w:lang w:val="fr-LU"/>
        </w:rPr>
        <w:fldChar w:fldCharType="end"/>
      </w:r>
    </w:p>
    <w:p w14:paraId="26A6427F" w14:textId="181B2A8B" w:rsidR="0082191C" w:rsidRPr="0019485F" w:rsidRDefault="00170EAD">
      <w:pPr>
        <w:rPr>
          <w:rFonts w:ascii="Verdana" w:hAnsi="Verdana"/>
          <w:lang w:val="fr-LU"/>
        </w:rPr>
      </w:pPr>
      <w:r w:rsidRPr="0019485F">
        <w:rPr>
          <w:rFonts w:ascii="Verdana" w:hAnsi="Verdana"/>
          <w:lang w:val="fr-LU"/>
        </w:rPr>
        <w:br w:type="page"/>
      </w:r>
    </w:p>
    <w:p w14:paraId="6EC840F5" w14:textId="25D94AD1" w:rsidR="0082191C" w:rsidRPr="00563B2C" w:rsidRDefault="005023AF" w:rsidP="00C92E51">
      <w:pPr>
        <w:pStyle w:val="Heading1"/>
        <w:spacing w:before="0" w:after="0" w:line="240" w:lineRule="auto"/>
        <w:ind w:left="567" w:hanging="567"/>
        <w:rPr>
          <w:rFonts w:ascii="Verdana" w:hAnsi="Verdana"/>
          <w:b/>
          <w:color w:val="6CACE4"/>
          <w:sz w:val="24"/>
          <w:szCs w:val="24"/>
          <w:u w:val="single"/>
          <w:lang w:val="fr-LU"/>
        </w:rPr>
      </w:pPr>
      <w:bookmarkStart w:id="1" w:name="_Toc22716569"/>
      <w:r w:rsidRPr="00563B2C">
        <w:rPr>
          <w:rFonts w:ascii="Verdana" w:hAnsi="Verdana"/>
          <w:b/>
          <w:color w:val="6CACE4"/>
          <w:sz w:val="24"/>
          <w:szCs w:val="24"/>
          <w:u w:val="single"/>
          <w:lang w:val="fr-LU"/>
        </w:rPr>
        <w:lastRenderedPageBreak/>
        <w:t>General Information</w:t>
      </w:r>
      <w:bookmarkEnd w:id="1"/>
    </w:p>
    <w:p w14:paraId="3C7C7641" w14:textId="77777777" w:rsidR="00042F16" w:rsidRPr="00042F16" w:rsidRDefault="00042F16" w:rsidP="00042F16">
      <w:pPr>
        <w:spacing w:after="0" w:line="240" w:lineRule="auto"/>
        <w:rPr>
          <w:rFonts w:ascii="Verdana" w:hAnsi="Verdana"/>
          <w:sz w:val="20"/>
          <w:szCs w:val="20"/>
          <w:lang w:val="fr-LU"/>
        </w:rPr>
      </w:pPr>
    </w:p>
    <w:p w14:paraId="1370D81D" w14:textId="77777777" w:rsidR="009143B2" w:rsidRPr="00563B2C" w:rsidRDefault="005023AF" w:rsidP="00042F16">
      <w:pPr>
        <w:pStyle w:val="Heading2"/>
        <w:spacing w:before="0" w:line="240" w:lineRule="auto"/>
        <w:ind w:left="567" w:hanging="567"/>
        <w:rPr>
          <w:rFonts w:ascii="Verdana" w:hAnsi="Verdana"/>
          <w:b/>
          <w:color w:val="6CACE4"/>
          <w:sz w:val="22"/>
          <w:szCs w:val="22"/>
        </w:rPr>
      </w:pPr>
      <w:bookmarkStart w:id="2" w:name="_Toc22716570"/>
      <w:r w:rsidRPr="00563B2C">
        <w:rPr>
          <w:rFonts w:ascii="Verdana" w:hAnsi="Verdana"/>
          <w:b/>
          <w:color w:val="6CACE4"/>
          <w:sz w:val="22"/>
          <w:szCs w:val="22"/>
        </w:rPr>
        <w:t>Introduction</w:t>
      </w:r>
      <w:bookmarkEnd w:id="2"/>
    </w:p>
    <w:p w14:paraId="0A17CDB5" w14:textId="77777777" w:rsidR="00042F16" w:rsidRPr="00042F16" w:rsidRDefault="00042F16" w:rsidP="00042F16">
      <w:pPr>
        <w:spacing w:after="0" w:line="240" w:lineRule="auto"/>
        <w:rPr>
          <w:rFonts w:ascii="Verdana" w:hAnsi="Verdana"/>
          <w:sz w:val="20"/>
          <w:szCs w:val="20"/>
        </w:rPr>
      </w:pPr>
    </w:p>
    <w:p w14:paraId="6B1F9398" w14:textId="118855CA" w:rsidR="005023AF" w:rsidRPr="00042F16" w:rsidRDefault="005023AF" w:rsidP="00042F16">
      <w:pPr>
        <w:spacing w:after="0" w:line="240" w:lineRule="auto"/>
        <w:rPr>
          <w:rFonts w:ascii="Verdana" w:hAnsi="Verdana"/>
          <w:sz w:val="20"/>
          <w:szCs w:val="20"/>
        </w:rPr>
      </w:pPr>
      <w:r w:rsidRPr="00042F16">
        <w:rPr>
          <w:rFonts w:ascii="Verdana" w:hAnsi="Verdana"/>
          <w:sz w:val="20"/>
          <w:szCs w:val="20"/>
        </w:rPr>
        <w:t xml:space="preserve">The purpose of this document is to give the various parties stakeholders, including investors, analysts, rating agencies and control bodies, in-depth information on </w:t>
      </w:r>
      <w:proofErr w:type="spellStart"/>
      <w:r w:rsidRPr="00042F16">
        <w:rPr>
          <w:rFonts w:ascii="Verdana" w:hAnsi="Verdana"/>
          <w:sz w:val="20"/>
          <w:szCs w:val="20"/>
        </w:rPr>
        <w:t>CapitalatWork</w:t>
      </w:r>
      <w:proofErr w:type="spellEnd"/>
      <w:r w:rsidR="00E253FF" w:rsidRPr="00042F16">
        <w:rPr>
          <w:rFonts w:ascii="Verdana" w:hAnsi="Verdana"/>
          <w:sz w:val="20"/>
          <w:szCs w:val="20"/>
        </w:rPr>
        <w:t xml:space="preserve"> Foyer </w:t>
      </w:r>
      <w:r w:rsidR="00083346" w:rsidRPr="00042F16">
        <w:rPr>
          <w:rFonts w:ascii="Verdana" w:hAnsi="Verdana"/>
          <w:sz w:val="20"/>
          <w:szCs w:val="20"/>
        </w:rPr>
        <w:t>G</w:t>
      </w:r>
      <w:r w:rsidR="00E253FF" w:rsidRPr="00042F16">
        <w:rPr>
          <w:rFonts w:ascii="Verdana" w:hAnsi="Verdana"/>
          <w:sz w:val="20"/>
          <w:szCs w:val="20"/>
        </w:rPr>
        <w:t>roup S.A. (namely “The Company”)</w:t>
      </w:r>
      <w:r w:rsidRPr="00042F16">
        <w:rPr>
          <w:rFonts w:ascii="Verdana" w:hAnsi="Verdana"/>
          <w:sz w:val="20"/>
          <w:szCs w:val="20"/>
        </w:rPr>
        <w:t xml:space="preserve"> risk management. The document shall in particular inform on the capital adeq</w:t>
      </w:r>
      <w:r w:rsidR="00DC0D65" w:rsidRPr="00042F16">
        <w:rPr>
          <w:rFonts w:ascii="Verdana" w:hAnsi="Verdana"/>
          <w:sz w:val="20"/>
          <w:szCs w:val="20"/>
        </w:rPr>
        <w:t>uacy,</w:t>
      </w:r>
      <w:r w:rsidR="00A96374" w:rsidRPr="00042F16">
        <w:rPr>
          <w:rFonts w:ascii="Verdana" w:hAnsi="Verdana"/>
          <w:sz w:val="20"/>
          <w:szCs w:val="20"/>
        </w:rPr>
        <w:t xml:space="preserve"> </w:t>
      </w:r>
      <w:r w:rsidR="00BF18EB" w:rsidRPr="00042F16">
        <w:rPr>
          <w:rFonts w:ascii="Verdana" w:hAnsi="Verdana"/>
          <w:sz w:val="20"/>
          <w:szCs w:val="20"/>
        </w:rPr>
        <w:t xml:space="preserve">the </w:t>
      </w:r>
      <w:r w:rsidR="00A96374" w:rsidRPr="00042F16">
        <w:rPr>
          <w:rFonts w:ascii="Verdana" w:hAnsi="Verdana"/>
          <w:sz w:val="20"/>
          <w:szCs w:val="20"/>
        </w:rPr>
        <w:t>own funds,</w:t>
      </w:r>
      <w:r w:rsidR="00DC0D65" w:rsidRPr="00042F16">
        <w:rPr>
          <w:rFonts w:ascii="Verdana" w:hAnsi="Verdana"/>
          <w:sz w:val="20"/>
          <w:szCs w:val="20"/>
        </w:rPr>
        <w:t xml:space="preserve"> </w:t>
      </w:r>
      <w:r w:rsidR="00BF18EB" w:rsidRPr="00042F16">
        <w:rPr>
          <w:rFonts w:ascii="Verdana" w:hAnsi="Verdana"/>
          <w:sz w:val="20"/>
          <w:szCs w:val="20"/>
        </w:rPr>
        <w:t xml:space="preserve">the </w:t>
      </w:r>
      <w:r w:rsidRPr="00042F16">
        <w:rPr>
          <w:rFonts w:ascii="Verdana" w:hAnsi="Verdana"/>
          <w:sz w:val="20"/>
          <w:szCs w:val="20"/>
        </w:rPr>
        <w:t xml:space="preserve">risk assessment </w:t>
      </w:r>
      <w:r w:rsidR="00A96374" w:rsidRPr="00042F16">
        <w:rPr>
          <w:rFonts w:ascii="Verdana" w:hAnsi="Verdana"/>
          <w:sz w:val="20"/>
          <w:szCs w:val="20"/>
        </w:rPr>
        <w:t>method</w:t>
      </w:r>
      <w:r w:rsidR="00BF18EB" w:rsidRPr="00042F16">
        <w:rPr>
          <w:rFonts w:ascii="Verdana" w:hAnsi="Verdana"/>
          <w:sz w:val="20"/>
          <w:szCs w:val="20"/>
        </w:rPr>
        <w:t>ologies</w:t>
      </w:r>
      <w:r w:rsidR="00A96374" w:rsidRPr="00042F16">
        <w:rPr>
          <w:rFonts w:ascii="Verdana" w:hAnsi="Verdana"/>
          <w:sz w:val="20"/>
          <w:szCs w:val="20"/>
        </w:rPr>
        <w:t xml:space="preserve">, </w:t>
      </w:r>
      <w:r w:rsidR="00DC0D65" w:rsidRPr="00042F16">
        <w:rPr>
          <w:rFonts w:ascii="Verdana" w:hAnsi="Verdana"/>
          <w:sz w:val="20"/>
          <w:szCs w:val="20"/>
        </w:rPr>
        <w:t xml:space="preserve">the level of risks </w:t>
      </w:r>
      <w:r w:rsidR="00A96374" w:rsidRPr="00042F16">
        <w:rPr>
          <w:rFonts w:ascii="Verdana" w:hAnsi="Verdana"/>
          <w:sz w:val="20"/>
          <w:szCs w:val="20"/>
        </w:rPr>
        <w:t>and the remuneration policy</w:t>
      </w:r>
      <w:r w:rsidR="00BF18EB" w:rsidRPr="00042F16">
        <w:rPr>
          <w:rFonts w:ascii="Verdana" w:hAnsi="Verdana"/>
          <w:sz w:val="20"/>
          <w:szCs w:val="20"/>
        </w:rPr>
        <w:t xml:space="preserve"> of </w:t>
      </w:r>
      <w:r w:rsidR="00DF0FC6" w:rsidRPr="00042F16">
        <w:rPr>
          <w:rFonts w:ascii="Verdana" w:hAnsi="Verdana"/>
          <w:sz w:val="20"/>
          <w:szCs w:val="20"/>
        </w:rPr>
        <w:t>t</w:t>
      </w:r>
      <w:r w:rsidR="002F2ED1" w:rsidRPr="00042F16">
        <w:rPr>
          <w:rFonts w:ascii="Verdana" w:hAnsi="Verdana"/>
          <w:sz w:val="20"/>
          <w:szCs w:val="20"/>
        </w:rPr>
        <w:t>he Company</w:t>
      </w:r>
      <w:r w:rsidR="00A96374" w:rsidRPr="00042F16">
        <w:rPr>
          <w:rFonts w:ascii="Verdana" w:hAnsi="Verdana"/>
          <w:sz w:val="20"/>
          <w:szCs w:val="20"/>
        </w:rPr>
        <w:t>.</w:t>
      </w:r>
    </w:p>
    <w:p w14:paraId="0F867AB5" w14:textId="77777777" w:rsidR="0019485F" w:rsidRPr="00042F16" w:rsidRDefault="0019485F" w:rsidP="00042F16">
      <w:pPr>
        <w:spacing w:after="0" w:line="240" w:lineRule="auto"/>
        <w:rPr>
          <w:rFonts w:ascii="Verdana" w:hAnsi="Verdana"/>
          <w:sz w:val="20"/>
          <w:szCs w:val="20"/>
        </w:rPr>
      </w:pPr>
    </w:p>
    <w:p w14:paraId="356E1DDD" w14:textId="52229878" w:rsidR="005023AF" w:rsidRPr="00042F16" w:rsidRDefault="005023AF" w:rsidP="00042F16">
      <w:pPr>
        <w:spacing w:after="0" w:line="240" w:lineRule="auto"/>
        <w:rPr>
          <w:rFonts w:ascii="Verdana" w:hAnsi="Verdana"/>
          <w:sz w:val="20"/>
          <w:szCs w:val="20"/>
        </w:rPr>
      </w:pPr>
      <w:r w:rsidRPr="00042F16">
        <w:rPr>
          <w:rFonts w:ascii="Verdana" w:hAnsi="Verdana"/>
          <w:sz w:val="20"/>
          <w:szCs w:val="20"/>
        </w:rPr>
        <w:t>This document has been prepared in acco</w:t>
      </w:r>
      <w:r w:rsidR="00DC0D65" w:rsidRPr="00042F16">
        <w:rPr>
          <w:rFonts w:ascii="Verdana" w:hAnsi="Verdana"/>
          <w:sz w:val="20"/>
          <w:szCs w:val="20"/>
        </w:rPr>
        <w:t xml:space="preserve">rdance </w:t>
      </w:r>
      <w:r w:rsidR="0082613B" w:rsidRPr="00042F16">
        <w:rPr>
          <w:rFonts w:ascii="Verdana" w:hAnsi="Verdana"/>
          <w:sz w:val="20"/>
          <w:szCs w:val="20"/>
        </w:rPr>
        <w:t xml:space="preserve">with </w:t>
      </w:r>
      <w:r w:rsidR="00BF18EB" w:rsidRPr="00042F16">
        <w:rPr>
          <w:rFonts w:ascii="Verdana" w:hAnsi="Verdana"/>
          <w:sz w:val="20"/>
          <w:szCs w:val="20"/>
        </w:rPr>
        <w:t xml:space="preserve">the Pillar III disclosure requirements included in Basel III. Basel III has been transposed </w:t>
      </w:r>
      <w:r w:rsidR="00DC0D65" w:rsidRPr="00042F16">
        <w:rPr>
          <w:rFonts w:ascii="Verdana" w:hAnsi="Verdana"/>
          <w:sz w:val="20"/>
          <w:szCs w:val="20"/>
        </w:rPr>
        <w:t xml:space="preserve">into </w:t>
      </w:r>
      <w:r w:rsidRPr="00042F16">
        <w:rPr>
          <w:rFonts w:ascii="Verdana" w:hAnsi="Verdana"/>
          <w:sz w:val="20"/>
          <w:szCs w:val="20"/>
        </w:rPr>
        <w:t>European law through Regulation (EU) N</w:t>
      </w:r>
      <w:r w:rsidR="00DC0D65" w:rsidRPr="00042F16">
        <w:rPr>
          <w:rFonts w:ascii="Verdana" w:hAnsi="Verdana"/>
          <w:sz w:val="20"/>
          <w:szCs w:val="20"/>
        </w:rPr>
        <w:t xml:space="preserve">o. 575/2013 </w:t>
      </w:r>
      <w:r w:rsidR="00BF18EB" w:rsidRPr="00042F16">
        <w:rPr>
          <w:rFonts w:ascii="Verdana" w:hAnsi="Verdana"/>
          <w:sz w:val="20"/>
          <w:szCs w:val="20"/>
        </w:rPr>
        <w:t>on prudential requirements for credit institutions and investment firms (</w:t>
      </w:r>
      <w:r w:rsidR="00DC0D65" w:rsidRPr="00042F16">
        <w:rPr>
          <w:rFonts w:ascii="Verdana" w:hAnsi="Verdana"/>
          <w:sz w:val="20"/>
          <w:szCs w:val="20"/>
        </w:rPr>
        <w:t xml:space="preserve">also known as </w:t>
      </w:r>
      <w:r w:rsidR="00BF18EB" w:rsidRPr="00042F16">
        <w:rPr>
          <w:rFonts w:ascii="Verdana" w:hAnsi="Verdana"/>
          <w:sz w:val="20"/>
          <w:szCs w:val="20"/>
        </w:rPr>
        <w:t>“</w:t>
      </w:r>
      <w:r w:rsidR="00DC0D65" w:rsidRPr="00042F16">
        <w:rPr>
          <w:rFonts w:ascii="Verdana" w:hAnsi="Verdana"/>
          <w:sz w:val="20"/>
          <w:szCs w:val="20"/>
        </w:rPr>
        <w:t>Capital Requirements Regulation</w:t>
      </w:r>
      <w:r w:rsidR="00BF18EB" w:rsidRPr="00042F16">
        <w:rPr>
          <w:rFonts w:ascii="Verdana" w:hAnsi="Verdana"/>
          <w:sz w:val="20"/>
          <w:szCs w:val="20"/>
        </w:rPr>
        <w:t>” or “CRR”)</w:t>
      </w:r>
      <w:r w:rsidR="00DC0D65" w:rsidRPr="00042F16">
        <w:rPr>
          <w:rFonts w:ascii="Verdana" w:hAnsi="Verdana"/>
          <w:sz w:val="20"/>
          <w:szCs w:val="20"/>
        </w:rPr>
        <w:t xml:space="preserve">. The legislation was published on 27 </w:t>
      </w:r>
      <w:r w:rsidR="00104595" w:rsidRPr="00042F16">
        <w:rPr>
          <w:rFonts w:ascii="Verdana" w:hAnsi="Verdana"/>
          <w:sz w:val="20"/>
          <w:szCs w:val="20"/>
        </w:rPr>
        <w:t>J</w:t>
      </w:r>
      <w:r w:rsidR="00DC0D65" w:rsidRPr="00042F16">
        <w:rPr>
          <w:rFonts w:ascii="Verdana" w:hAnsi="Verdana"/>
          <w:sz w:val="20"/>
          <w:szCs w:val="20"/>
        </w:rPr>
        <w:t xml:space="preserve">une 2013 and fully entered into force on 17 July 2013. The report is also published in compliance with </w:t>
      </w:r>
      <w:r w:rsidR="008310C6" w:rsidRPr="00042F16">
        <w:rPr>
          <w:rFonts w:ascii="Verdana" w:hAnsi="Verdana"/>
          <w:sz w:val="20"/>
          <w:szCs w:val="20"/>
        </w:rPr>
        <w:t xml:space="preserve">Luxembourg </w:t>
      </w:r>
      <w:r w:rsidR="00DC0D65" w:rsidRPr="00042F16">
        <w:rPr>
          <w:rFonts w:ascii="Verdana" w:hAnsi="Verdana"/>
          <w:sz w:val="20"/>
          <w:szCs w:val="20"/>
        </w:rPr>
        <w:t xml:space="preserve">national transposition regulations, </w:t>
      </w:r>
      <w:r w:rsidR="00E02FB9" w:rsidRPr="00042F16">
        <w:rPr>
          <w:rFonts w:ascii="Verdana" w:hAnsi="Verdana"/>
          <w:sz w:val="20"/>
          <w:szCs w:val="20"/>
        </w:rPr>
        <w:t>regulation 18-03</w:t>
      </w:r>
      <w:r w:rsidR="00DC0D65" w:rsidRPr="00042F16">
        <w:rPr>
          <w:rFonts w:ascii="Verdana" w:hAnsi="Verdana"/>
          <w:sz w:val="20"/>
          <w:szCs w:val="20"/>
        </w:rPr>
        <w:t xml:space="preserve"> and circular 14/583, issued by the national supervisory body CSSF taking into account Guidelines from the European Banking Authority (EBA).</w:t>
      </w:r>
      <w:r w:rsidR="00DC0D65" w:rsidRPr="00042F16">
        <w:rPr>
          <w:rStyle w:val="FootnoteReference"/>
          <w:rFonts w:ascii="Verdana" w:hAnsi="Verdana"/>
          <w:sz w:val="20"/>
          <w:szCs w:val="20"/>
        </w:rPr>
        <w:footnoteReference w:id="1"/>
      </w:r>
      <w:r w:rsidR="008310C6" w:rsidRPr="00042F16">
        <w:rPr>
          <w:rFonts w:ascii="Verdana" w:hAnsi="Verdana"/>
          <w:sz w:val="20"/>
          <w:szCs w:val="20"/>
        </w:rPr>
        <w:t xml:space="preserve"> </w:t>
      </w:r>
    </w:p>
    <w:p w14:paraId="717254E8" w14:textId="77777777" w:rsidR="0019485F" w:rsidRPr="00042F16" w:rsidRDefault="0019485F" w:rsidP="00042F16">
      <w:pPr>
        <w:spacing w:after="0" w:line="240" w:lineRule="auto"/>
        <w:rPr>
          <w:rFonts w:ascii="Verdana" w:hAnsi="Verdana"/>
          <w:sz w:val="20"/>
          <w:szCs w:val="20"/>
        </w:rPr>
      </w:pPr>
    </w:p>
    <w:p w14:paraId="5C7C73A3" w14:textId="014D31B0" w:rsidR="005023AF" w:rsidRPr="00042F16" w:rsidRDefault="00BF18EB" w:rsidP="00042F16">
      <w:pPr>
        <w:spacing w:after="0" w:line="240" w:lineRule="auto"/>
        <w:rPr>
          <w:rFonts w:ascii="Verdana" w:hAnsi="Verdana"/>
          <w:sz w:val="20"/>
          <w:szCs w:val="20"/>
        </w:rPr>
      </w:pPr>
      <w:r w:rsidRPr="00042F16">
        <w:rPr>
          <w:rFonts w:ascii="Verdana" w:hAnsi="Verdana"/>
          <w:sz w:val="20"/>
          <w:szCs w:val="20"/>
        </w:rPr>
        <w:t xml:space="preserve">The </w:t>
      </w:r>
      <w:r w:rsidR="005023AF" w:rsidRPr="00042F16">
        <w:rPr>
          <w:rFonts w:ascii="Verdana" w:hAnsi="Verdana"/>
          <w:sz w:val="20"/>
          <w:szCs w:val="20"/>
        </w:rPr>
        <w:t xml:space="preserve">Pillar III </w:t>
      </w:r>
      <w:r w:rsidR="00DC0D65" w:rsidRPr="00042F16">
        <w:rPr>
          <w:rFonts w:ascii="Verdana" w:hAnsi="Verdana"/>
          <w:sz w:val="20"/>
          <w:szCs w:val="20"/>
        </w:rPr>
        <w:t xml:space="preserve">encourages the </w:t>
      </w:r>
      <w:r w:rsidR="005023AF" w:rsidRPr="00042F16">
        <w:rPr>
          <w:rFonts w:ascii="Verdana" w:hAnsi="Verdana"/>
          <w:sz w:val="20"/>
          <w:szCs w:val="20"/>
        </w:rPr>
        <w:t xml:space="preserve">market discipline through the </w:t>
      </w:r>
      <w:r w:rsidR="00DC0D65" w:rsidRPr="00042F16">
        <w:rPr>
          <w:rFonts w:ascii="Verdana" w:hAnsi="Verdana"/>
          <w:sz w:val="20"/>
          <w:szCs w:val="20"/>
        </w:rPr>
        <w:t xml:space="preserve">publication of information that </w:t>
      </w:r>
      <w:r w:rsidR="005023AF" w:rsidRPr="00042F16">
        <w:rPr>
          <w:rFonts w:ascii="Verdana" w:hAnsi="Verdana"/>
          <w:sz w:val="20"/>
          <w:szCs w:val="20"/>
        </w:rPr>
        <w:t>allow</w:t>
      </w:r>
      <w:r w:rsidR="00DC0D65" w:rsidRPr="00042F16">
        <w:rPr>
          <w:rFonts w:ascii="Verdana" w:hAnsi="Verdana"/>
          <w:sz w:val="20"/>
          <w:szCs w:val="20"/>
        </w:rPr>
        <w:t>s</w:t>
      </w:r>
      <w:r w:rsidR="005023AF" w:rsidRPr="00042F16">
        <w:rPr>
          <w:rFonts w:ascii="Verdana" w:hAnsi="Verdana"/>
          <w:sz w:val="20"/>
          <w:szCs w:val="20"/>
        </w:rPr>
        <w:t xml:space="preserve"> the market </w:t>
      </w:r>
      <w:r w:rsidRPr="00042F16">
        <w:rPr>
          <w:rFonts w:ascii="Verdana" w:hAnsi="Verdana"/>
          <w:sz w:val="20"/>
          <w:szCs w:val="20"/>
        </w:rPr>
        <w:t xml:space="preserve">participants </w:t>
      </w:r>
      <w:r w:rsidR="005023AF" w:rsidRPr="00042F16">
        <w:rPr>
          <w:rFonts w:ascii="Verdana" w:hAnsi="Verdana"/>
          <w:sz w:val="20"/>
          <w:szCs w:val="20"/>
        </w:rPr>
        <w:t xml:space="preserve">to assess </w:t>
      </w:r>
      <w:r w:rsidRPr="00042F16">
        <w:rPr>
          <w:rFonts w:ascii="Verdana" w:hAnsi="Verdana"/>
          <w:sz w:val="20"/>
          <w:szCs w:val="20"/>
        </w:rPr>
        <w:t>the level</w:t>
      </w:r>
      <w:r w:rsidR="00F94EE5" w:rsidRPr="00042F16">
        <w:rPr>
          <w:rFonts w:ascii="Verdana" w:hAnsi="Verdana"/>
          <w:sz w:val="20"/>
          <w:szCs w:val="20"/>
        </w:rPr>
        <w:t xml:space="preserve"> of risk</w:t>
      </w:r>
      <w:r w:rsidRPr="00042F16">
        <w:rPr>
          <w:rFonts w:ascii="Verdana" w:hAnsi="Verdana"/>
          <w:sz w:val="20"/>
          <w:szCs w:val="20"/>
        </w:rPr>
        <w:t xml:space="preserve">, the risk management </w:t>
      </w:r>
      <w:r w:rsidR="00F94EE5" w:rsidRPr="00042F16">
        <w:rPr>
          <w:rFonts w:ascii="Verdana" w:hAnsi="Verdana"/>
          <w:sz w:val="20"/>
          <w:szCs w:val="20"/>
        </w:rPr>
        <w:t>framework</w:t>
      </w:r>
      <w:r w:rsidR="005023AF" w:rsidRPr="00042F16">
        <w:rPr>
          <w:rFonts w:ascii="Verdana" w:hAnsi="Verdana"/>
          <w:sz w:val="20"/>
          <w:szCs w:val="20"/>
        </w:rPr>
        <w:t xml:space="preserve"> </w:t>
      </w:r>
      <w:r w:rsidR="00DC0D65" w:rsidRPr="00042F16">
        <w:rPr>
          <w:rFonts w:ascii="Verdana" w:hAnsi="Verdana"/>
          <w:sz w:val="20"/>
          <w:szCs w:val="20"/>
        </w:rPr>
        <w:t xml:space="preserve">and </w:t>
      </w:r>
      <w:r w:rsidR="00F94EE5" w:rsidRPr="00042F16">
        <w:rPr>
          <w:rFonts w:ascii="Verdana" w:hAnsi="Verdana"/>
          <w:sz w:val="20"/>
          <w:szCs w:val="20"/>
        </w:rPr>
        <w:t xml:space="preserve">the capital adequacy </w:t>
      </w:r>
      <w:r w:rsidR="005023AF" w:rsidRPr="00042F16">
        <w:rPr>
          <w:rFonts w:ascii="Verdana" w:hAnsi="Verdana"/>
          <w:sz w:val="20"/>
          <w:szCs w:val="20"/>
        </w:rPr>
        <w:t xml:space="preserve">of </w:t>
      </w:r>
      <w:r w:rsidR="00F94EE5" w:rsidRPr="00042F16">
        <w:rPr>
          <w:rFonts w:ascii="Verdana" w:hAnsi="Verdana"/>
          <w:sz w:val="20"/>
          <w:szCs w:val="20"/>
        </w:rPr>
        <w:t>institutions</w:t>
      </w:r>
      <w:r w:rsidR="005023AF" w:rsidRPr="00042F16">
        <w:rPr>
          <w:rFonts w:ascii="Verdana" w:hAnsi="Verdana"/>
          <w:sz w:val="20"/>
          <w:szCs w:val="20"/>
        </w:rPr>
        <w:t>.</w:t>
      </w:r>
      <w:r w:rsidR="00905BC8" w:rsidRPr="00042F16">
        <w:rPr>
          <w:rFonts w:ascii="Verdana" w:hAnsi="Verdana"/>
          <w:sz w:val="20"/>
          <w:szCs w:val="20"/>
        </w:rPr>
        <w:t xml:space="preserve"> </w:t>
      </w:r>
    </w:p>
    <w:p w14:paraId="4A304CE7" w14:textId="77777777" w:rsidR="0019485F" w:rsidRPr="00042F16" w:rsidRDefault="0019485F" w:rsidP="00042F16">
      <w:pPr>
        <w:spacing w:after="0" w:line="240" w:lineRule="auto"/>
        <w:rPr>
          <w:rFonts w:ascii="Verdana" w:hAnsi="Verdana"/>
          <w:sz w:val="20"/>
          <w:szCs w:val="20"/>
        </w:rPr>
      </w:pPr>
    </w:p>
    <w:p w14:paraId="2D6D1194" w14:textId="3B8AA25B" w:rsidR="00905BC8" w:rsidRPr="00042F16" w:rsidRDefault="00905BC8" w:rsidP="00042F16">
      <w:pPr>
        <w:spacing w:after="0" w:line="240" w:lineRule="auto"/>
        <w:rPr>
          <w:rFonts w:ascii="Verdana" w:hAnsi="Verdana"/>
          <w:sz w:val="20"/>
          <w:szCs w:val="20"/>
        </w:rPr>
      </w:pPr>
      <w:r w:rsidRPr="00042F16">
        <w:rPr>
          <w:rFonts w:ascii="Verdana" w:hAnsi="Verdana"/>
          <w:sz w:val="20"/>
          <w:szCs w:val="20"/>
        </w:rPr>
        <w:t xml:space="preserve">The illustration bellows describes the Basel Capital Framework and its three pillars: </w:t>
      </w:r>
    </w:p>
    <w:p w14:paraId="3A03273D" w14:textId="77777777" w:rsidR="0019485F" w:rsidRPr="00042F16" w:rsidRDefault="0019485F" w:rsidP="00042F16">
      <w:pPr>
        <w:spacing w:after="0" w:line="240" w:lineRule="auto"/>
        <w:rPr>
          <w:rFonts w:ascii="Verdana" w:hAnsi="Verdana"/>
          <w:sz w:val="20"/>
          <w:szCs w:val="20"/>
        </w:rPr>
      </w:pPr>
    </w:p>
    <w:p w14:paraId="51D9D718" w14:textId="133FE6BB" w:rsidR="00A56C8E" w:rsidRPr="00042F16" w:rsidRDefault="00A56C8E" w:rsidP="00042F16">
      <w:pPr>
        <w:pStyle w:val="Caption"/>
        <w:spacing w:after="0"/>
        <w:jc w:val="center"/>
        <w:rPr>
          <w:rFonts w:ascii="Verdana" w:hAnsi="Verdana"/>
          <w:color w:val="auto"/>
          <w:sz w:val="20"/>
          <w:szCs w:val="20"/>
        </w:rPr>
      </w:pPr>
      <w:bookmarkStart w:id="3" w:name="_Toc21940035"/>
      <w:r w:rsidRPr="00042F16">
        <w:rPr>
          <w:rFonts w:ascii="Verdana" w:hAnsi="Verdana"/>
          <w:color w:val="auto"/>
          <w:sz w:val="20"/>
          <w:szCs w:val="20"/>
        </w:rPr>
        <w:t xml:space="preserve">Figure </w:t>
      </w:r>
      <w:r w:rsidRPr="00042F16">
        <w:rPr>
          <w:rFonts w:ascii="Verdana" w:hAnsi="Verdana"/>
          <w:color w:val="auto"/>
          <w:sz w:val="20"/>
          <w:szCs w:val="20"/>
        </w:rPr>
        <w:fldChar w:fldCharType="begin"/>
      </w:r>
      <w:r w:rsidRPr="00042F16">
        <w:rPr>
          <w:rFonts w:ascii="Verdana" w:hAnsi="Verdana"/>
          <w:color w:val="auto"/>
          <w:sz w:val="20"/>
          <w:szCs w:val="20"/>
        </w:rPr>
        <w:instrText xml:space="preserve"> SEQ Figure \* ARABIC </w:instrText>
      </w:r>
      <w:r w:rsidRPr="00042F16">
        <w:rPr>
          <w:rFonts w:ascii="Verdana" w:hAnsi="Verdana"/>
          <w:color w:val="auto"/>
          <w:sz w:val="20"/>
          <w:szCs w:val="20"/>
        </w:rPr>
        <w:fldChar w:fldCharType="separate"/>
      </w:r>
      <w:r w:rsidR="00E7065A" w:rsidRPr="00042F16">
        <w:rPr>
          <w:rFonts w:ascii="Verdana" w:hAnsi="Verdana"/>
          <w:noProof/>
          <w:color w:val="auto"/>
          <w:sz w:val="20"/>
          <w:szCs w:val="20"/>
        </w:rPr>
        <w:t>1</w:t>
      </w:r>
      <w:r w:rsidRPr="00042F16">
        <w:rPr>
          <w:rFonts w:ascii="Verdana" w:hAnsi="Verdana"/>
          <w:color w:val="auto"/>
          <w:sz w:val="20"/>
          <w:szCs w:val="20"/>
        </w:rPr>
        <w:fldChar w:fldCharType="end"/>
      </w:r>
      <w:r w:rsidRPr="00042F16">
        <w:rPr>
          <w:rFonts w:ascii="Verdana" w:hAnsi="Verdana"/>
          <w:color w:val="auto"/>
          <w:sz w:val="20"/>
          <w:szCs w:val="20"/>
        </w:rPr>
        <w:t xml:space="preserve"> : Basel Capital Framework – Three Pillars</w:t>
      </w:r>
      <w:bookmarkEnd w:id="3"/>
    </w:p>
    <w:p w14:paraId="64441351" w14:textId="3572711B" w:rsidR="009F6F24" w:rsidRPr="00042F16" w:rsidRDefault="00EF0BDA" w:rsidP="00042F16">
      <w:pPr>
        <w:spacing w:after="0" w:line="240" w:lineRule="auto"/>
        <w:jc w:val="center"/>
        <w:rPr>
          <w:rFonts w:ascii="Verdana" w:hAnsi="Verdana"/>
          <w:sz w:val="20"/>
          <w:szCs w:val="20"/>
        </w:rPr>
      </w:pPr>
      <w:r w:rsidRPr="00042F16">
        <w:rPr>
          <w:rFonts w:ascii="Verdana" w:hAnsi="Verdana"/>
          <w:noProof/>
          <w:sz w:val="20"/>
          <w:szCs w:val="20"/>
          <w:lang w:val="fr-FR" w:eastAsia="fr-FR"/>
        </w:rPr>
        <w:drawing>
          <wp:inline distT="0" distB="0" distL="0" distR="0" wp14:anchorId="74CAA922" wp14:editId="1DC76CA0">
            <wp:extent cx="4057143" cy="1885714"/>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7143" cy="1885714"/>
                    </a:xfrm>
                    <a:prstGeom prst="rect">
                      <a:avLst/>
                    </a:prstGeom>
                  </pic:spPr>
                </pic:pic>
              </a:graphicData>
            </a:graphic>
          </wp:inline>
        </w:drawing>
      </w:r>
    </w:p>
    <w:p w14:paraId="37715EFD" w14:textId="77777777" w:rsidR="00042F16" w:rsidRDefault="00042F16" w:rsidP="00042F16">
      <w:pPr>
        <w:spacing w:after="0" w:line="240" w:lineRule="auto"/>
        <w:rPr>
          <w:rFonts w:ascii="Verdana" w:hAnsi="Verdana"/>
          <w:sz w:val="20"/>
          <w:szCs w:val="20"/>
        </w:rPr>
      </w:pPr>
    </w:p>
    <w:p w14:paraId="752B0BDA" w14:textId="0A70D475" w:rsidR="005023AF" w:rsidRDefault="005023AF" w:rsidP="00042F16">
      <w:pPr>
        <w:spacing w:after="0" w:line="240" w:lineRule="auto"/>
        <w:rPr>
          <w:rFonts w:ascii="Verdana" w:hAnsi="Verdana"/>
          <w:sz w:val="20"/>
          <w:szCs w:val="20"/>
        </w:rPr>
      </w:pPr>
      <w:r w:rsidRPr="00042F16">
        <w:rPr>
          <w:rFonts w:ascii="Verdana" w:hAnsi="Verdana"/>
          <w:sz w:val="20"/>
          <w:szCs w:val="20"/>
        </w:rPr>
        <w:t xml:space="preserve">The </w:t>
      </w:r>
      <w:r w:rsidR="00083346" w:rsidRPr="00042F16">
        <w:rPr>
          <w:rFonts w:ascii="Verdana" w:hAnsi="Verdana"/>
          <w:sz w:val="20"/>
          <w:szCs w:val="20"/>
        </w:rPr>
        <w:t xml:space="preserve">Company’s </w:t>
      </w:r>
      <w:r w:rsidRPr="00042F16">
        <w:rPr>
          <w:rFonts w:ascii="Verdana" w:hAnsi="Verdana"/>
          <w:sz w:val="20"/>
          <w:szCs w:val="20"/>
        </w:rPr>
        <w:t>pu</w:t>
      </w:r>
      <w:r w:rsidR="00DC0D65" w:rsidRPr="00042F16">
        <w:rPr>
          <w:rFonts w:ascii="Verdana" w:hAnsi="Verdana"/>
          <w:sz w:val="20"/>
          <w:szCs w:val="20"/>
        </w:rPr>
        <w:t xml:space="preserve">blications under Pillar III are </w:t>
      </w:r>
      <w:r w:rsidRPr="00042F16">
        <w:rPr>
          <w:rFonts w:ascii="Verdana" w:hAnsi="Verdana"/>
          <w:sz w:val="20"/>
          <w:szCs w:val="20"/>
        </w:rPr>
        <w:t>additional to the informat</w:t>
      </w:r>
      <w:r w:rsidR="00DC0D65" w:rsidRPr="00042F16">
        <w:rPr>
          <w:rFonts w:ascii="Verdana" w:hAnsi="Verdana"/>
          <w:sz w:val="20"/>
          <w:szCs w:val="20"/>
        </w:rPr>
        <w:t xml:space="preserve">ion provided by </w:t>
      </w:r>
      <w:r w:rsidR="00DF0FC6" w:rsidRPr="00042F16">
        <w:rPr>
          <w:rFonts w:ascii="Verdana" w:hAnsi="Verdana"/>
          <w:sz w:val="20"/>
          <w:szCs w:val="20"/>
        </w:rPr>
        <w:t>t</w:t>
      </w:r>
      <w:r w:rsidR="00083346" w:rsidRPr="00042F16">
        <w:rPr>
          <w:rFonts w:ascii="Verdana" w:hAnsi="Verdana"/>
          <w:sz w:val="20"/>
          <w:szCs w:val="20"/>
        </w:rPr>
        <w:t>he Company</w:t>
      </w:r>
      <w:r w:rsidR="00DC0D65" w:rsidRPr="00042F16">
        <w:rPr>
          <w:rFonts w:ascii="Verdana" w:hAnsi="Verdana"/>
          <w:sz w:val="20"/>
          <w:szCs w:val="20"/>
        </w:rPr>
        <w:t xml:space="preserve"> in </w:t>
      </w:r>
      <w:r w:rsidRPr="00042F16">
        <w:rPr>
          <w:rFonts w:ascii="Verdana" w:hAnsi="Verdana"/>
          <w:sz w:val="20"/>
          <w:szCs w:val="20"/>
        </w:rPr>
        <w:t>its annual accounts. The reader is t</w:t>
      </w:r>
      <w:r w:rsidR="00DC0D65" w:rsidRPr="00042F16">
        <w:rPr>
          <w:rFonts w:ascii="Verdana" w:hAnsi="Verdana"/>
          <w:sz w:val="20"/>
          <w:szCs w:val="20"/>
        </w:rPr>
        <w:t xml:space="preserve">herefore invited to consult the </w:t>
      </w:r>
      <w:r w:rsidRPr="00042F16">
        <w:rPr>
          <w:rFonts w:ascii="Verdana" w:hAnsi="Verdana"/>
          <w:sz w:val="20"/>
          <w:szCs w:val="20"/>
        </w:rPr>
        <w:t>audited annual ac</w:t>
      </w:r>
      <w:r w:rsidR="00DC0D65" w:rsidRPr="00042F16">
        <w:rPr>
          <w:rFonts w:ascii="Verdana" w:hAnsi="Verdana"/>
          <w:sz w:val="20"/>
          <w:szCs w:val="20"/>
        </w:rPr>
        <w:t xml:space="preserve">counts of </w:t>
      </w:r>
      <w:r w:rsidR="00DF0FC6" w:rsidRPr="00042F16">
        <w:rPr>
          <w:rFonts w:ascii="Verdana" w:hAnsi="Verdana"/>
          <w:sz w:val="20"/>
          <w:szCs w:val="20"/>
        </w:rPr>
        <w:t>t</w:t>
      </w:r>
      <w:r w:rsidR="00083346" w:rsidRPr="00042F16">
        <w:rPr>
          <w:rFonts w:ascii="Verdana" w:hAnsi="Verdana"/>
          <w:sz w:val="20"/>
          <w:szCs w:val="20"/>
        </w:rPr>
        <w:t>he Company</w:t>
      </w:r>
      <w:r w:rsidR="00DC0D65" w:rsidRPr="00042F16">
        <w:rPr>
          <w:rFonts w:ascii="Verdana" w:hAnsi="Verdana"/>
          <w:sz w:val="20"/>
          <w:szCs w:val="20"/>
        </w:rPr>
        <w:t xml:space="preserve"> to have more </w:t>
      </w:r>
      <w:r w:rsidRPr="00042F16">
        <w:rPr>
          <w:rFonts w:ascii="Verdana" w:hAnsi="Verdana"/>
          <w:sz w:val="20"/>
          <w:szCs w:val="20"/>
        </w:rPr>
        <w:t>qualitative and quantitativ</w:t>
      </w:r>
      <w:r w:rsidR="00DC0D65" w:rsidRPr="00042F16">
        <w:rPr>
          <w:rFonts w:ascii="Verdana" w:hAnsi="Verdana"/>
          <w:sz w:val="20"/>
          <w:szCs w:val="20"/>
        </w:rPr>
        <w:t xml:space="preserve">e information on related topics </w:t>
      </w:r>
      <w:r w:rsidRPr="00042F16">
        <w:rPr>
          <w:rFonts w:ascii="Verdana" w:hAnsi="Verdana"/>
          <w:sz w:val="20"/>
          <w:szCs w:val="20"/>
        </w:rPr>
        <w:t>to risk management.</w:t>
      </w:r>
    </w:p>
    <w:p w14:paraId="67B1E466" w14:textId="77777777" w:rsidR="00042F16" w:rsidRDefault="00042F16" w:rsidP="00042F16">
      <w:pPr>
        <w:spacing w:after="0" w:line="240" w:lineRule="auto"/>
        <w:rPr>
          <w:rFonts w:ascii="Verdana" w:hAnsi="Verdana"/>
          <w:sz w:val="20"/>
          <w:szCs w:val="20"/>
        </w:rPr>
      </w:pPr>
    </w:p>
    <w:p w14:paraId="2E940954" w14:textId="77777777" w:rsidR="00042F16" w:rsidRDefault="00042F16" w:rsidP="00042F16">
      <w:pPr>
        <w:spacing w:after="0" w:line="240" w:lineRule="auto"/>
        <w:rPr>
          <w:rFonts w:ascii="Verdana" w:hAnsi="Verdana"/>
          <w:sz w:val="20"/>
          <w:szCs w:val="20"/>
        </w:rPr>
      </w:pPr>
    </w:p>
    <w:p w14:paraId="1355E46F" w14:textId="77777777" w:rsidR="00042F16" w:rsidRDefault="00042F16" w:rsidP="00042F16">
      <w:pPr>
        <w:spacing w:after="0" w:line="240" w:lineRule="auto"/>
        <w:rPr>
          <w:rFonts w:ascii="Verdana" w:hAnsi="Verdana"/>
          <w:sz w:val="20"/>
          <w:szCs w:val="20"/>
        </w:rPr>
      </w:pPr>
    </w:p>
    <w:p w14:paraId="1E36548F" w14:textId="77777777" w:rsidR="00042F16" w:rsidRPr="00042F16" w:rsidRDefault="00042F16" w:rsidP="00042F16">
      <w:pPr>
        <w:spacing w:after="0" w:line="240" w:lineRule="auto"/>
        <w:rPr>
          <w:rFonts w:ascii="Verdana" w:hAnsi="Verdana"/>
          <w:sz w:val="20"/>
          <w:szCs w:val="20"/>
        </w:rPr>
      </w:pPr>
    </w:p>
    <w:p w14:paraId="0F72AFDF" w14:textId="55503ED0" w:rsidR="00DC0D65" w:rsidRPr="00563B2C" w:rsidRDefault="00083346" w:rsidP="00042F16">
      <w:pPr>
        <w:pStyle w:val="Heading2"/>
        <w:spacing w:before="0" w:line="240" w:lineRule="auto"/>
        <w:ind w:left="567" w:hanging="567"/>
        <w:rPr>
          <w:rFonts w:ascii="Verdana" w:hAnsi="Verdana"/>
          <w:b/>
          <w:color w:val="6CACE4"/>
          <w:sz w:val="22"/>
          <w:szCs w:val="22"/>
        </w:rPr>
      </w:pPr>
      <w:bookmarkStart w:id="4" w:name="_Toc22716571"/>
      <w:r w:rsidRPr="00563B2C">
        <w:rPr>
          <w:rFonts w:ascii="Verdana" w:hAnsi="Verdana"/>
          <w:b/>
          <w:color w:val="6CACE4"/>
          <w:sz w:val="22"/>
          <w:szCs w:val="22"/>
        </w:rPr>
        <w:lastRenderedPageBreak/>
        <w:t>The Company’s</w:t>
      </w:r>
      <w:r w:rsidR="009A36A1" w:rsidRPr="00563B2C">
        <w:rPr>
          <w:rFonts w:ascii="Verdana" w:hAnsi="Verdana"/>
          <w:b/>
          <w:color w:val="6CACE4"/>
          <w:sz w:val="22"/>
          <w:szCs w:val="22"/>
        </w:rPr>
        <w:t xml:space="preserve"> scope of activities</w:t>
      </w:r>
      <w:bookmarkEnd w:id="4"/>
    </w:p>
    <w:p w14:paraId="4E9AA846" w14:textId="77777777" w:rsidR="00042F16" w:rsidRDefault="00042F16" w:rsidP="00042F16">
      <w:pPr>
        <w:spacing w:after="0" w:line="240" w:lineRule="auto"/>
        <w:rPr>
          <w:rFonts w:ascii="Verdana" w:hAnsi="Verdana"/>
          <w:sz w:val="20"/>
          <w:szCs w:val="20"/>
        </w:rPr>
      </w:pPr>
    </w:p>
    <w:p w14:paraId="3DD1B349" w14:textId="3AF53FCE" w:rsidR="000A797B" w:rsidRPr="00042F16" w:rsidRDefault="000A797B" w:rsidP="00563B2C">
      <w:pPr>
        <w:spacing w:after="0" w:line="240" w:lineRule="auto"/>
        <w:rPr>
          <w:rFonts w:ascii="Verdana" w:hAnsi="Verdana"/>
          <w:sz w:val="20"/>
          <w:szCs w:val="20"/>
        </w:rPr>
      </w:pPr>
      <w:proofErr w:type="spellStart"/>
      <w:r w:rsidRPr="00042F16">
        <w:rPr>
          <w:rFonts w:ascii="Verdana" w:hAnsi="Verdana"/>
          <w:sz w:val="20"/>
          <w:szCs w:val="20"/>
        </w:rPr>
        <w:t>CapitalatWork</w:t>
      </w:r>
      <w:proofErr w:type="spellEnd"/>
      <w:r w:rsidRPr="00042F16">
        <w:rPr>
          <w:rFonts w:ascii="Verdana" w:hAnsi="Verdana"/>
          <w:sz w:val="20"/>
          <w:szCs w:val="20"/>
        </w:rPr>
        <w:t xml:space="preserve"> Foyer Group S.A.</w:t>
      </w:r>
      <w:r w:rsidR="00E253FF" w:rsidRPr="00042F16">
        <w:rPr>
          <w:rFonts w:ascii="Verdana" w:hAnsi="Verdana"/>
          <w:sz w:val="20"/>
          <w:szCs w:val="20"/>
        </w:rPr>
        <w:t xml:space="preserve"> </w:t>
      </w:r>
      <w:r w:rsidRPr="00042F16">
        <w:rPr>
          <w:rFonts w:ascii="Verdana" w:hAnsi="Verdana"/>
          <w:sz w:val="20"/>
          <w:szCs w:val="20"/>
        </w:rPr>
        <w:t>is a company</w:t>
      </w:r>
      <w:r w:rsidR="00393FB2" w:rsidRPr="00042F16">
        <w:rPr>
          <w:rFonts w:ascii="Verdana" w:hAnsi="Verdana"/>
          <w:sz w:val="20"/>
          <w:szCs w:val="20"/>
        </w:rPr>
        <w:t xml:space="preserve"> governed by the law</w:t>
      </w:r>
      <w:r w:rsidRPr="00042F16">
        <w:rPr>
          <w:rFonts w:ascii="Verdana" w:hAnsi="Verdana"/>
          <w:sz w:val="20"/>
          <w:szCs w:val="20"/>
        </w:rPr>
        <w:t xml:space="preserve"> incorporated on 9 November 2000 as a public limited company under the n</w:t>
      </w:r>
      <w:r w:rsidR="00393FB2" w:rsidRPr="00042F16">
        <w:rPr>
          <w:rFonts w:ascii="Verdana" w:hAnsi="Verdana"/>
          <w:sz w:val="20"/>
          <w:szCs w:val="20"/>
        </w:rPr>
        <w:t xml:space="preserve">ame of </w:t>
      </w:r>
      <w:proofErr w:type="spellStart"/>
      <w:r w:rsidR="00393FB2" w:rsidRPr="00042F16">
        <w:rPr>
          <w:rFonts w:ascii="Verdana" w:hAnsi="Verdana"/>
          <w:sz w:val="20"/>
          <w:szCs w:val="20"/>
        </w:rPr>
        <w:t>CapitalatWork</w:t>
      </w:r>
      <w:proofErr w:type="spellEnd"/>
      <w:r w:rsidR="00393FB2" w:rsidRPr="00042F16">
        <w:rPr>
          <w:rFonts w:ascii="Verdana" w:hAnsi="Verdana"/>
          <w:sz w:val="20"/>
          <w:szCs w:val="20"/>
        </w:rPr>
        <w:t xml:space="preserve"> Group S.A.</w:t>
      </w:r>
    </w:p>
    <w:p w14:paraId="05276425" w14:textId="77777777" w:rsidR="00563B2C" w:rsidRDefault="00563B2C" w:rsidP="00563B2C">
      <w:pPr>
        <w:spacing w:after="0" w:line="240" w:lineRule="auto"/>
        <w:rPr>
          <w:rFonts w:ascii="Verdana" w:hAnsi="Verdana"/>
          <w:sz w:val="20"/>
          <w:szCs w:val="20"/>
        </w:rPr>
      </w:pPr>
    </w:p>
    <w:p w14:paraId="30D7D6FB" w14:textId="382A0572" w:rsidR="000A797B" w:rsidRPr="00042F16" w:rsidRDefault="000A797B" w:rsidP="00563B2C">
      <w:pPr>
        <w:spacing w:after="0" w:line="240" w:lineRule="auto"/>
        <w:rPr>
          <w:rFonts w:ascii="Verdana" w:hAnsi="Verdana"/>
          <w:sz w:val="20"/>
          <w:szCs w:val="20"/>
        </w:rPr>
      </w:pPr>
      <w:r w:rsidRPr="00042F16">
        <w:rPr>
          <w:rFonts w:ascii="Verdana" w:hAnsi="Verdana"/>
          <w:sz w:val="20"/>
          <w:szCs w:val="20"/>
        </w:rPr>
        <w:t xml:space="preserve">The Company's purpose is to carry out all transactions relating to the activity of professionals in the </w:t>
      </w:r>
      <w:r w:rsidR="00147A64" w:rsidRPr="00042F16">
        <w:rPr>
          <w:rFonts w:ascii="Verdana" w:hAnsi="Verdana"/>
          <w:sz w:val="20"/>
          <w:szCs w:val="20"/>
        </w:rPr>
        <w:t xml:space="preserve">financial </w:t>
      </w:r>
      <w:r w:rsidRPr="00042F16">
        <w:rPr>
          <w:rFonts w:ascii="Verdana" w:hAnsi="Verdana"/>
          <w:sz w:val="20"/>
          <w:szCs w:val="20"/>
        </w:rPr>
        <w:t xml:space="preserve">sector authorised by the law of 5 April 1993 on the financial sector, as amended. </w:t>
      </w:r>
    </w:p>
    <w:p w14:paraId="635F1E64" w14:textId="5DD94942" w:rsidR="000A797B" w:rsidRPr="00042F16" w:rsidRDefault="000A797B" w:rsidP="00563B2C">
      <w:pPr>
        <w:spacing w:after="0" w:line="240" w:lineRule="auto"/>
        <w:rPr>
          <w:rFonts w:ascii="Verdana" w:hAnsi="Verdana"/>
          <w:sz w:val="20"/>
          <w:szCs w:val="20"/>
        </w:rPr>
      </w:pPr>
      <w:r w:rsidRPr="00042F16">
        <w:rPr>
          <w:rFonts w:ascii="Verdana" w:hAnsi="Verdana"/>
          <w:sz w:val="20"/>
          <w:szCs w:val="20"/>
        </w:rPr>
        <w:t>It may also, in the Grand Duchy</w:t>
      </w:r>
      <w:r w:rsidR="00810845">
        <w:rPr>
          <w:rFonts w:ascii="Verdana" w:hAnsi="Verdana"/>
          <w:sz w:val="20"/>
          <w:szCs w:val="20"/>
        </w:rPr>
        <w:t xml:space="preserve"> of Luxembourg and abroad, </w:t>
      </w:r>
      <w:r w:rsidRPr="00042F16">
        <w:rPr>
          <w:rFonts w:ascii="Verdana" w:hAnsi="Verdana"/>
          <w:sz w:val="20"/>
          <w:szCs w:val="20"/>
        </w:rPr>
        <w:t>on behalf of third part</w:t>
      </w:r>
      <w:r w:rsidR="008310C6" w:rsidRPr="00042F16">
        <w:rPr>
          <w:rFonts w:ascii="Verdana" w:hAnsi="Verdana"/>
          <w:sz w:val="20"/>
          <w:szCs w:val="20"/>
        </w:rPr>
        <w:t>ies</w:t>
      </w:r>
      <w:r w:rsidRPr="00042F16">
        <w:rPr>
          <w:rFonts w:ascii="Verdana" w:hAnsi="Verdana"/>
          <w:sz w:val="20"/>
          <w:szCs w:val="20"/>
        </w:rPr>
        <w:t>, carry out transactions relating to the activity of advising on investment, financia</w:t>
      </w:r>
      <w:r w:rsidR="00810845">
        <w:rPr>
          <w:rFonts w:ascii="Verdana" w:hAnsi="Verdana"/>
          <w:sz w:val="20"/>
          <w:szCs w:val="20"/>
        </w:rPr>
        <w:t xml:space="preserve">l instrument broker, commission </w:t>
      </w:r>
      <w:r w:rsidRPr="00042F16">
        <w:rPr>
          <w:rFonts w:ascii="Verdana" w:hAnsi="Verdana"/>
          <w:sz w:val="20"/>
          <w:szCs w:val="20"/>
        </w:rPr>
        <w:t xml:space="preserve">agent and asset manager, as a distributor of UCI units with the possibility of accepting and making payments and as registrar. </w:t>
      </w:r>
    </w:p>
    <w:p w14:paraId="5339832E" w14:textId="77777777" w:rsidR="00563B2C" w:rsidRDefault="00563B2C" w:rsidP="00563B2C">
      <w:pPr>
        <w:spacing w:after="0" w:line="240" w:lineRule="auto"/>
        <w:rPr>
          <w:rFonts w:ascii="Verdana" w:hAnsi="Verdana"/>
          <w:sz w:val="20"/>
          <w:szCs w:val="20"/>
        </w:rPr>
      </w:pPr>
    </w:p>
    <w:p w14:paraId="531DDFE8" w14:textId="77777777" w:rsidR="000A797B" w:rsidRDefault="000A797B" w:rsidP="00563B2C">
      <w:pPr>
        <w:spacing w:after="0" w:line="240" w:lineRule="auto"/>
        <w:rPr>
          <w:rFonts w:ascii="Verdana" w:hAnsi="Verdana"/>
          <w:sz w:val="20"/>
          <w:szCs w:val="20"/>
        </w:rPr>
      </w:pPr>
      <w:r w:rsidRPr="00042F16">
        <w:rPr>
          <w:rFonts w:ascii="Verdana" w:hAnsi="Verdana"/>
          <w:sz w:val="20"/>
          <w:szCs w:val="20"/>
        </w:rPr>
        <w:t>The Company may carry out any operations of any kind, generally of a commercial nature, industrial, financial, movable or immovable property that may be directly related to or indirectly to its corporate purpose or likely to facilitate its realization and development.</w:t>
      </w:r>
    </w:p>
    <w:p w14:paraId="2556B53D" w14:textId="77777777" w:rsidR="00042F16" w:rsidRPr="00042F16" w:rsidRDefault="00042F16" w:rsidP="00042F16">
      <w:pPr>
        <w:spacing w:after="0" w:line="240" w:lineRule="auto"/>
        <w:rPr>
          <w:rFonts w:ascii="Verdana" w:hAnsi="Verdana"/>
          <w:sz w:val="20"/>
          <w:szCs w:val="20"/>
        </w:rPr>
      </w:pPr>
    </w:p>
    <w:p w14:paraId="3C23B19B" w14:textId="1DDDD6E4" w:rsidR="005023AF" w:rsidRPr="00563B2C" w:rsidRDefault="000A797B" w:rsidP="00042F16">
      <w:pPr>
        <w:pStyle w:val="Heading2"/>
        <w:spacing w:before="0" w:line="240" w:lineRule="auto"/>
        <w:ind w:left="567" w:hanging="567"/>
        <w:rPr>
          <w:rFonts w:ascii="Verdana" w:hAnsi="Verdana"/>
          <w:b/>
          <w:color w:val="6CACE4"/>
          <w:sz w:val="22"/>
          <w:szCs w:val="22"/>
        </w:rPr>
      </w:pPr>
      <w:bookmarkStart w:id="5" w:name="_Toc22716572"/>
      <w:r w:rsidRPr="00563B2C">
        <w:rPr>
          <w:rFonts w:ascii="Verdana" w:hAnsi="Verdana"/>
          <w:b/>
          <w:color w:val="6CACE4"/>
          <w:sz w:val="22"/>
          <w:szCs w:val="22"/>
        </w:rPr>
        <w:t xml:space="preserve">Scope of Application (Art. </w:t>
      </w:r>
      <w:r w:rsidR="003858DC" w:rsidRPr="00563B2C">
        <w:rPr>
          <w:rFonts w:ascii="Verdana" w:hAnsi="Verdana"/>
          <w:b/>
          <w:color w:val="6CACE4"/>
          <w:sz w:val="22"/>
          <w:szCs w:val="22"/>
        </w:rPr>
        <w:t xml:space="preserve">13, </w:t>
      </w:r>
      <w:r w:rsidRPr="00563B2C">
        <w:rPr>
          <w:rFonts w:ascii="Verdana" w:hAnsi="Verdana"/>
          <w:b/>
          <w:color w:val="6CACE4"/>
          <w:sz w:val="22"/>
          <w:szCs w:val="22"/>
        </w:rPr>
        <w:t>431 and 436 CRR)</w:t>
      </w:r>
      <w:bookmarkEnd w:id="5"/>
    </w:p>
    <w:p w14:paraId="7772E038" w14:textId="77777777" w:rsidR="00042F16" w:rsidRPr="00042F16" w:rsidRDefault="00042F16" w:rsidP="00042F16">
      <w:pPr>
        <w:spacing w:after="0" w:line="240" w:lineRule="auto"/>
      </w:pPr>
    </w:p>
    <w:p w14:paraId="4061577B" w14:textId="50EC970B" w:rsidR="000A797B" w:rsidRPr="00042F16" w:rsidRDefault="00F12AA5" w:rsidP="00042F16">
      <w:pPr>
        <w:spacing w:after="0" w:line="240" w:lineRule="auto"/>
        <w:rPr>
          <w:rFonts w:ascii="Verdana" w:hAnsi="Verdana"/>
          <w:sz w:val="20"/>
          <w:szCs w:val="20"/>
        </w:rPr>
      </w:pPr>
      <w:r w:rsidRPr="00042F16">
        <w:rPr>
          <w:rFonts w:ascii="Verdana" w:hAnsi="Verdana"/>
          <w:sz w:val="20"/>
          <w:szCs w:val="20"/>
        </w:rPr>
        <w:t xml:space="preserve">The </w:t>
      </w:r>
      <w:r w:rsidR="00447C58" w:rsidRPr="00042F16">
        <w:rPr>
          <w:rFonts w:ascii="Verdana" w:hAnsi="Verdana"/>
          <w:sz w:val="20"/>
          <w:szCs w:val="20"/>
        </w:rPr>
        <w:t>Company</w:t>
      </w:r>
      <w:r w:rsidR="000A797B" w:rsidRPr="00042F16">
        <w:rPr>
          <w:rFonts w:ascii="Verdana" w:hAnsi="Verdana"/>
          <w:sz w:val="20"/>
          <w:szCs w:val="20"/>
        </w:rPr>
        <w:t xml:space="preserve"> has adopted a policy to comply with the discl</w:t>
      </w:r>
      <w:r w:rsidR="00A42D32" w:rsidRPr="00042F16">
        <w:rPr>
          <w:rFonts w:ascii="Verdana" w:hAnsi="Verdana"/>
          <w:sz w:val="20"/>
          <w:szCs w:val="20"/>
        </w:rPr>
        <w:t xml:space="preserve">osure requirements of </w:t>
      </w:r>
      <w:r w:rsidR="00447C58" w:rsidRPr="00042F16">
        <w:rPr>
          <w:rFonts w:ascii="Verdana" w:hAnsi="Verdana"/>
          <w:sz w:val="20"/>
          <w:szCs w:val="20"/>
        </w:rPr>
        <w:t>CRR</w:t>
      </w:r>
      <w:r w:rsidR="00447C58" w:rsidRPr="00042F16" w:rsidDel="00447C58">
        <w:rPr>
          <w:rFonts w:ascii="Verdana" w:hAnsi="Verdana"/>
          <w:sz w:val="20"/>
          <w:szCs w:val="20"/>
        </w:rPr>
        <w:t xml:space="preserve"> </w:t>
      </w:r>
      <w:r w:rsidR="00447C58" w:rsidRPr="00042F16">
        <w:rPr>
          <w:rFonts w:ascii="Verdana" w:hAnsi="Verdana"/>
          <w:sz w:val="20"/>
          <w:szCs w:val="20"/>
        </w:rPr>
        <w:t>part eight</w:t>
      </w:r>
      <w:r w:rsidR="000A797B" w:rsidRPr="00042F16">
        <w:rPr>
          <w:rFonts w:ascii="Verdana" w:hAnsi="Verdana"/>
          <w:sz w:val="20"/>
          <w:szCs w:val="20"/>
        </w:rPr>
        <w:t xml:space="preserve">. </w:t>
      </w:r>
    </w:p>
    <w:p w14:paraId="606A6E33" w14:textId="77777777" w:rsidR="00563B2C" w:rsidRDefault="00563B2C" w:rsidP="00042F16">
      <w:pPr>
        <w:spacing w:after="0" w:line="240" w:lineRule="auto"/>
        <w:rPr>
          <w:rFonts w:ascii="Verdana" w:hAnsi="Verdana"/>
          <w:sz w:val="20"/>
          <w:szCs w:val="20"/>
        </w:rPr>
      </w:pPr>
    </w:p>
    <w:p w14:paraId="7165F128" w14:textId="224B2BB2" w:rsidR="009A36A1" w:rsidRPr="00042F16" w:rsidRDefault="00A42D32" w:rsidP="00042F16">
      <w:pPr>
        <w:spacing w:after="0" w:line="240" w:lineRule="auto"/>
        <w:rPr>
          <w:rFonts w:ascii="Verdana" w:hAnsi="Verdana"/>
          <w:sz w:val="20"/>
          <w:szCs w:val="20"/>
        </w:rPr>
      </w:pPr>
      <w:r w:rsidRPr="00042F16">
        <w:rPr>
          <w:rFonts w:ascii="Verdana" w:hAnsi="Verdana"/>
          <w:sz w:val="20"/>
          <w:szCs w:val="20"/>
        </w:rPr>
        <w:t>The Pillar III</w:t>
      </w:r>
      <w:r w:rsidR="000A797B" w:rsidRPr="00042F16">
        <w:rPr>
          <w:rFonts w:ascii="Verdana" w:hAnsi="Verdana"/>
          <w:sz w:val="20"/>
          <w:szCs w:val="20"/>
        </w:rPr>
        <w:t xml:space="preserve"> report contains the information of </w:t>
      </w:r>
      <w:r w:rsidR="00DF0FC6" w:rsidRPr="00042F16">
        <w:rPr>
          <w:rFonts w:ascii="Verdana" w:hAnsi="Verdana"/>
          <w:sz w:val="20"/>
          <w:szCs w:val="20"/>
        </w:rPr>
        <w:t>t</w:t>
      </w:r>
      <w:r w:rsidR="00083346" w:rsidRPr="00042F16">
        <w:rPr>
          <w:rFonts w:ascii="Verdana" w:hAnsi="Verdana"/>
          <w:sz w:val="20"/>
          <w:szCs w:val="20"/>
        </w:rPr>
        <w:t>he Company</w:t>
      </w:r>
      <w:r w:rsidR="0060275C">
        <w:rPr>
          <w:rFonts w:ascii="Verdana" w:hAnsi="Verdana"/>
          <w:sz w:val="20"/>
          <w:szCs w:val="20"/>
        </w:rPr>
        <w:t xml:space="preserve"> as of 31 December 2019</w:t>
      </w:r>
      <w:r w:rsidR="000A797B" w:rsidRPr="00042F16">
        <w:rPr>
          <w:rFonts w:ascii="Verdana" w:hAnsi="Verdana"/>
          <w:sz w:val="20"/>
          <w:szCs w:val="20"/>
        </w:rPr>
        <w:t xml:space="preserve"> on a consolidated basis. </w:t>
      </w:r>
      <w:r w:rsidR="009A36A1" w:rsidRPr="00042F16">
        <w:rPr>
          <w:rFonts w:ascii="Verdana" w:hAnsi="Verdana"/>
          <w:sz w:val="20"/>
          <w:szCs w:val="20"/>
        </w:rPr>
        <w:t xml:space="preserve">The consolidated accounts of </w:t>
      </w:r>
      <w:r w:rsidR="00DF0FC6" w:rsidRPr="00042F16">
        <w:rPr>
          <w:rFonts w:ascii="Verdana" w:hAnsi="Verdana"/>
          <w:sz w:val="20"/>
          <w:szCs w:val="20"/>
        </w:rPr>
        <w:t>t</w:t>
      </w:r>
      <w:r w:rsidR="009A36A1" w:rsidRPr="00042F16">
        <w:rPr>
          <w:rFonts w:ascii="Verdana" w:hAnsi="Verdana"/>
          <w:sz w:val="20"/>
          <w:szCs w:val="20"/>
        </w:rPr>
        <w:t>he Company include the following subsidiaries</w:t>
      </w:r>
      <w:r w:rsidR="00FE41F2" w:rsidRPr="00042F16">
        <w:rPr>
          <w:rFonts w:ascii="Verdana" w:hAnsi="Verdana"/>
          <w:sz w:val="20"/>
          <w:szCs w:val="20"/>
        </w:rPr>
        <w:t xml:space="preserve"> (together referred to as the “</w:t>
      </w:r>
      <w:r w:rsidR="00FE41F2" w:rsidRPr="00042F16">
        <w:rPr>
          <w:rFonts w:ascii="Verdana" w:hAnsi="Verdana"/>
          <w:b/>
          <w:sz w:val="20"/>
          <w:szCs w:val="20"/>
        </w:rPr>
        <w:t>Group</w:t>
      </w:r>
      <w:r w:rsidR="00FE41F2" w:rsidRPr="00042F16">
        <w:rPr>
          <w:rFonts w:ascii="Verdana" w:hAnsi="Verdana"/>
          <w:sz w:val="20"/>
          <w:szCs w:val="20"/>
        </w:rPr>
        <w:t>”)</w:t>
      </w:r>
      <w:r w:rsidR="009A36A1" w:rsidRPr="00042F16">
        <w:rPr>
          <w:rFonts w:ascii="Verdana" w:hAnsi="Verdana"/>
          <w:sz w:val="20"/>
          <w:szCs w:val="20"/>
        </w:rPr>
        <w:t>:</w:t>
      </w:r>
    </w:p>
    <w:p w14:paraId="6EE185D0" w14:textId="50AB5018" w:rsidR="009A36A1" w:rsidRPr="00042F16" w:rsidRDefault="009A36A1" w:rsidP="00042F16">
      <w:pPr>
        <w:spacing w:after="0" w:line="240" w:lineRule="auto"/>
        <w:rPr>
          <w:rFonts w:ascii="Verdana" w:hAnsi="Verdana"/>
          <w:sz w:val="20"/>
          <w:szCs w:val="20"/>
        </w:rPr>
      </w:pPr>
      <w:r w:rsidRPr="00042F16">
        <w:rPr>
          <w:rFonts w:ascii="Verdana" w:hAnsi="Verdana"/>
          <w:sz w:val="20"/>
          <w:szCs w:val="20"/>
        </w:rPr>
        <w:t xml:space="preserve">- </w:t>
      </w:r>
      <w:proofErr w:type="spellStart"/>
      <w:r w:rsidRPr="00042F16">
        <w:rPr>
          <w:rFonts w:ascii="Verdana" w:hAnsi="Verdana"/>
          <w:sz w:val="20"/>
          <w:szCs w:val="20"/>
        </w:rPr>
        <w:t>CapitalatWork</w:t>
      </w:r>
      <w:proofErr w:type="spellEnd"/>
      <w:r w:rsidRPr="00042F16">
        <w:rPr>
          <w:rFonts w:ascii="Verdana" w:hAnsi="Verdana"/>
          <w:sz w:val="20"/>
          <w:szCs w:val="20"/>
        </w:rPr>
        <w:t xml:space="preserve"> S.A. located in </w:t>
      </w:r>
      <w:proofErr w:type="spellStart"/>
      <w:r w:rsidR="00083346" w:rsidRPr="00042F16">
        <w:rPr>
          <w:rFonts w:ascii="Verdana" w:hAnsi="Verdana"/>
          <w:sz w:val="20"/>
          <w:szCs w:val="20"/>
        </w:rPr>
        <w:t>Bruxelles</w:t>
      </w:r>
      <w:proofErr w:type="spellEnd"/>
      <w:r w:rsidRPr="00042F16">
        <w:rPr>
          <w:rFonts w:ascii="Verdana" w:hAnsi="Verdana"/>
          <w:sz w:val="20"/>
          <w:szCs w:val="20"/>
        </w:rPr>
        <w:t>, Belgium and owned at 100%</w:t>
      </w:r>
      <w:r w:rsidR="00083346" w:rsidRPr="00042F16">
        <w:rPr>
          <w:rFonts w:ascii="Verdana" w:hAnsi="Verdana"/>
          <w:sz w:val="20"/>
          <w:szCs w:val="20"/>
        </w:rPr>
        <w:t xml:space="preserve"> (hereinafter “C</w:t>
      </w:r>
      <w:r w:rsidR="00FE4F0E" w:rsidRPr="00042F16">
        <w:rPr>
          <w:rFonts w:ascii="Verdana" w:hAnsi="Verdana"/>
          <w:sz w:val="20"/>
          <w:szCs w:val="20"/>
        </w:rPr>
        <w:t>AW</w:t>
      </w:r>
      <w:r w:rsidR="00083346" w:rsidRPr="00042F16">
        <w:rPr>
          <w:rFonts w:ascii="Verdana" w:hAnsi="Verdana"/>
          <w:sz w:val="20"/>
          <w:szCs w:val="20"/>
        </w:rPr>
        <w:t xml:space="preserve"> SA”)</w:t>
      </w:r>
      <w:r w:rsidRPr="00042F16">
        <w:rPr>
          <w:rFonts w:ascii="Verdana" w:hAnsi="Verdana"/>
          <w:sz w:val="20"/>
          <w:szCs w:val="20"/>
        </w:rPr>
        <w:t>.</w:t>
      </w:r>
    </w:p>
    <w:p w14:paraId="5CD7672F" w14:textId="572C810F" w:rsidR="009A36A1" w:rsidRPr="00042F16" w:rsidRDefault="009A36A1" w:rsidP="00042F16">
      <w:pPr>
        <w:spacing w:after="0" w:line="240" w:lineRule="auto"/>
        <w:rPr>
          <w:rFonts w:ascii="Verdana" w:hAnsi="Verdana"/>
          <w:sz w:val="20"/>
          <w:szCs w:val="20"/>
        </w:rPr>
      </w:pPr>
      <w:r w:rsidRPr="00042F16">
        <w:rPr>
          <w:rFonts w:ascii="Verdana" w:hAnsi="Verdana"/>
          <w:sz w:val="20"/>
          <w:szCs w:val="20"/>
        </w:rPr>
        <w:t xml:space="preserve">- </w:t>
      </w:r>
      <w:proofErr w:type="spellStart"/>
      <w:r w:rsidRPr="00042F16">
        <w:rPr>
          <w:rFonts w:ascii="Verdana" w:hAnsi="Verdana"/>
          <w:sz w:val="20"/>
          <w:szCs w:val="20"/>
        </w:rPr>
        <w:t>Immo</w:t>
      </w:r>
      <w:proofErr w:type="spellEnd"/>
      <w:r w:rsidRPr="00042F16">
        <w:rPr>
          <w:rFonts w:ascii="Verdana" w:hAnsi="Verdana"/>
          <w:sz w:val="20"/>
          <w:szCs w:val="20"/>
        </w:rPr>
        <w:t xml:space="preserve"> at Work S.A. located in </w:t>
      </w:r>
      <w:proofErr w:type="spellStart"/>
      <w:r w:rsidR="00083346" w:rsidRPr="00042F16">
        <w:rPr>
          <w:rFonts w:ascii="Verdana" w:hAnsi="Verdana"/>
          <w:sz w:val="20"/>
          <w:szCs w:val="20"/>
        </w:rPr>
        <w:t>Bruxelles</w:t>
      </w:r>
      <w:proofErr w:type="spellEnd"/>
      <w:r w:rsidRPr="00042F16">
        <w:rPr>
          <w:rFonts w:ascii="Verdana" w:hAnsi="Verdana"/>
          <w:sz w:val="20"/>
          <w:szCs w:val="20"/>
        </w:rPr>
        <w:t>, Belgium and owned at 100%.</w:t>
      </w:r>
    </w:p>
    <w:p w14:paraId="2D29F620" w14:textId="61B157CF" w:rsidR="009A36A1" w:rsidRDefault="009A36A1" w:rsidP="00042F16">
      <w:pPr>
        <w:spacing w:after="0" w:line="240" w:lineRule="auto"/>
        <w:rPr>
          <w:rFonts w:ascii="Verdana" w:hAnsi="Verdana"/>
          <w:sz w:val="20"/>
          <w:szCs w:val="20"/>
        </w:rPr>
      </w:pPr>
      <w:r w:rsidRPr="00042F16">
        <w:rPr>
          <w:rFonts w:ascii="Verdana" w:hAnsi="Verdana"/>
          <w:sz w:val="20"/>
          <w:szCs w:val="20"/>
        </w:rPr>
        <w:t xml:space="preserve">- </w:t>
      </w:r>
      <w:proofErr w:type="spellStart"/>
      <w:r w:rsidRPr="00042F16">
        <w:rPr>
          <w:rFonts w:ascii="Verdana" w:hAnsi="Verdana"/>
          <w:sz w:val="20"/>
          <w:szCs w:val="20"/>
        </w:rPr>
        <w:t>CapitalatWork</w:t>
      </w:r>
      <w:proofErr w:type="spellEnd"/>
      <w:r w:rsidRPr="00042F16">
        <w:rPr>
          <w:rFonts w:ascii="Verdana" w:hAnsi="Verdana"/>
          <w:sz w:val="20"/>
          <w:szCs w:val="20"/>
        </w:rPr>
        <w:t xml:space="preserve"> Management Company S.A. located in </w:t>
      </w:r>
      <w:proofErr w:type="spellStart"/>
      <w:r w:rsidRPr="00042F16">
        <w:rPr>
          <w:rFonts w:ascii="Verdana" w:hAnsi="Verdana"/>
          <w:sz w:val="20"/>
          <w:szCs w:val="20"/>
        </w:rPr>
        <w:t>Leudelange</w:t>
      </w:r>
      <w:proofErr w:type="spellEnd"/>
      <w:r w:rsidRPr="00042F16">
        <w:rPr>
          <w:rFonts w:ascii="Verdana" w:hAnsi="Verdana"/>
          <w:sz w:val="20"/>
          <w:szCs w:val="20"/>
        </w:rPr>
        <w:t xml:space="preserve">, </w:t>
      </w:r>
      <w:r w:rsidR="00393FB2" w:rsidRPr="00042F16">
        <w:rPr>
          <w:rFonts w:ascii="Verdana" w:hAnsi="Verdana"/>
          <w:sz w:val="20"/>
          <w:szCs w:val="20"/>
        </w:rPr>
        <w:t>Luxembourg</w:t>
      </w:r>
      <w:r w:rsidRPr="00042F16">
        <w:rPr>
          <w:rFonts w:ascii="Verdana" w:hAnsi="Verdana"/>
          <w:sz w:val="20"/>
          <w:szCs w:val="20"/>
        </w:rPr>
        <w:t xml:space="preserve"> and owned at 100%</w:t>
      </w:r>
      <w:r w:rsidR="00083346" w:rsidRPr="00042F16">
        <w:rPr>
          <w:rFonts w:ascii="Verdana" w:hAnsi="Verdana"/>
          <w:sz w:val="20"/>
          <w:szCs w:val="20"/>
        </w:rPr>
        <w:t xml:space="preserve"> (hereinafter “</w:t>
      </w:r>
      <w:proofErr w:type="spellStart"/>
      <w:r w:rsidR="00083346" w:rsidRPr="00042F16">
        <w:rPr>
          <w:rFonts w:ascii="Verdana" w:hAnsi="Verdana"/>
          <w:sz w:val="20"/>
          <w:szCs w:val="20"/>
        </w:rPr>
        <w:t>Man</w:t>
      </w:r>
      <w:r w:rsidR="00FE4F0E" w:rsidRPr="00042F16">
        <w:rPr>
          <w:rFonts w:ascii="Verdana" w:hAnsi="Verdana"/>
          <w:sz w:val="20"/>
          <w:szCs w:val="20"/>
        </w:rPr>
        <w:t>Co</w:t>
      </w:r>
      <w:proofErr w:type="spellEnd"/>
      <w:r w:rsidR="00083346" w:rsidRPr="00042F16">
        <w:rPr>
          <w:rFonts w:ascii="Verdana" w:hAnsi="Verdana"/>
          <w:sz w:val="20"/>
          <w:szCs w:val="20"/>
        </w:rPr>
        <w:t>”)</w:t>
      </w:r>
      <w:r w:rsidR="00D3082A" w:rsidRPr="00042F16">
        <w:rPr>
          <w:rFonts w:ascii="Verdana" w:hAnsi="Verdana"/>
          <w:sz w:val="20"/>
          <w:szCs w:val="20"/>
        </w:rPr>
        <w:t>.</w:t>
      </w:r>
      <w:r w:rsidR="00EE3D3D">
        <w:rPr>
          <w:rFonts w:ascii="Verdana" w:hAnsi="Verdana"/>
          <w:sz w:val="20"/>
          <w:szCs w:val="20"/>
        </w:rPr>
        <w:t xml:space="preserve"> </w:t>
      </w:r>
      <w:r w:rsidR="00EE3D3D" w:rsidRPr="0065464B">
        <w:rPr>
          <w:rFonts w:ascii="Verdana" w:hAnsi="Verdana"/>
          <w:sz w:val="20"/>
          <w:szCs w:val="20"/>
        </w:rPr>
        <w:t xml:space="preserve">The activities of the </w:t>
      </w:r>
      <w:proofErr w:type="spellStart"/>
      <w:r w:rsidR="00EE3D3D" w:rsidRPr="0065464B">
        <w:rPr>
          <w:rFonts w:ascii="Verdana" w:hAnsi="Verdana"/>
          <w:sz w:val="20"/>
          <w:szCs w:val="20"/>
        </w:rPr>
        <w:t>ManCo</w:t>
      </w:r>
      <w:proofErr w:type="spellEnd"/>
      <w:r w:rsidR="00EE3D3D" w:rsidRPr="0065464B">
        <w:rPr>
          <w:rFonts w:ascii="Verdana" w:hAnsi="Verdana"/>
          <w:sz w:val="20"/>
          <w:szCs w:val="20"/>
        </w:rPr>
        <w:t xml:space="preserve"> have been outsourced to </w:t>
      </w:r>
      <w:proofErr w:type="spellStart"/>
      <w:r w:rsidR="00EE3D3D" w:rsidRPr="0065464B">
        <w:rPr>
          <w:rFonts w:ascii="Verdana" w:hAnsi="Verdana"/>
          <w:sz w:val="20"/>
          <w:szCs w:val="20"/>
        </w:rPr>
        <w:t>Lemanik</w:t>
      </w:r>
      <w:proofErr w:type="spellEnd"/>
      <w:r w:rsidR="00EE3D3D" w:rsidRPr="0065464B">
        <w:rPr>
          <w:rFonts w:ascii="Verdana" w:hAnsi="Verdana"/>
          <w:sz w:val="20"/>
          <w:szCs w:val="20"/>
        </w:rPr>
        <w:t xml:space="preserve"> Asset Management since December 2019.</w:t>
      </w:r>
    </w:p>
    <w:p w14:paraId="093BAE29" w14:textId="77777777" w:rsidR="00042F16" w:rsidRPr="00042F16" w:rsidRDefault="00042F16" w:rsidP="00042F16">
      <w:pPr>
        <w:spacing w:after="0" w:line="240" w:lineRule="auto"/>
        <w:rPr>
          <w:rFonts w:ascii="Verdana" w:hAnsi="Verdana"/>
          <w:sz w:val="20"/>
          <w:szCs w:val="20"/>
        </w:rPr>
      </w:pPr>
    </w:p>
    <w:p w14:paraId="3DD3FAEC" w14:textId="77777777" w:rsidR="009A36A1" w:rsidRPr="00563B2C" w:rsidRDefault="009A36A1" w:rsidP="00042F16">
      <w:pPr>
        <w:pStyle w:val="Heading2"/>
        <w:spacing w:before="0" w:line="240" w:lineRule="auto"/>
        <w:ind w:left="567" w:hanging="567"/>
        <w:rPr>
          <w:rFonts w:ascii="Verdana" w:hAnsi="Verdana"/>
          <w:b/>
          <w:color w:val="6CACE4"/>
          <w:sz w:val="22"/>
          <w:szCs w:val="22"/>
        </w:rPr>
      </w:pPr>
      <w:bookmarkStart w:id="6" w:name="_Toc22716573"/>
      <w:r w:rsidRPr="00563B2C">
        <w:rPr>
          <w:rFonts w:ascii="Verdana" w:hAnsi="Verdana"/>
          <w:b/>
          <w:color w:val="6CACE4"/>
          <w:sz w:val="22"/>
          <w:szCs w:val="22"/>
        </w:rPr>
        <w:t>Frequency and location of disclosure (Art. 432 and 433 CRR)</w:t>
      </w:r>
      <w:bookmarkEnd w:id="6"/>
    </w:p>
    <w:p w14:paraId="0480442B" w14:textId="77777777" w:rsidR="00042F16" w:rsidRPr="00042F16" w:rsidRDefault="00042F16" w:rsidP="00042F16">
      <w:pPr>
        <w:spacing w:after="0" w:line="240" w:lineRule="auto"/>
      </w:pPr>
    </w:p>
    <w:p w14:paraId="084E0CA6" w14:textId="5DF23C56" w:rsidR="009A36A1" w:rsidRPr="00042F16" w:rsidRDefault="00083346" w:rsidP="00042F16">
      <w:pPr>
        <w:spacing w:after="0" w:line="240" w:lineRule="auto"/>
        <w:rPr>
          <w:rFonts w:ascii="Verdana" w:hAnsi="Verdana"/>
          <w:sz w:val="20"/>
          <w:szCs w:val="20"/>
        </w:rPr>
      </w:pPr>
      <w:r w:rsidRPr="00042F16">
        <w:rPr>
          <w:rFonts w:ascii="Verdana" w:hAnsi="Verdana"/>
          <w:sz w:val="20"/>
          <w:szCs w:val="20"/>
        </w:rPr>
        <w:t>The Company</w:t>
      </w:r>
      <w:r w:rsidR="009A36A1" w:rsidRPr="00042F16">
        <w:rPr>
          <w:rFonts w:ascii="Verdana" w:hAnsi="Verdana"/>
          <w:sz w:val="20"/>
          <w:szCs w:val="20"/>
        </w:rPr>
        <w:t xml:space="preserve"> publishes the Pillar III disclosure report on an annual basis. </w:t>
      </w:r>
    </w:p>
    <w:p w14:paraId="6E128958" w14:textId="77777777" w:rsidR="00563B2C" w:rsidRDefault="00563B2C" w:rsidP="00042F16">
      <w:pPr>
        <w:spacing w:after="0" w:line="240" w:lineRule="auto"/>
        <w:rPr>
          <w:rFonts w:ascii="Verdana" w:hAnsi="Verdana"/>
          <w:sz w:val="20"/>
          <w:szCs w:val="20"/>
        </w:rPr>
      </w:pPr>
    </w:p>
    <w:p w14:paraId="3547F8C6" w14:textId="26E1FB29" w:rsidR="009A36A1" w:rsidRDefault="009A36A1" w:rsidP="00042F16">
      <w:pPr>
        <w:spacing w:after="0" w:line="240" w:lineRule="auto"/>
        <w:rPr>
          <w:rFonts w:ascii="Verdana" w:hAnsi="Verdana"/>
          <w:sz w:val="20"/>
          <w:szCs w:val="20"/>
        </w:rPr>
      </w:pPr>
      <w:r w:rsidRPr="00042F16">
        <w:rPr>
          <w:rFonts w:ascii="Verdana" w:hAnsi="Verdana"/>
          <w:sz w:val="20"/>
          <w:szCs w:val="20"/>
        </w:rPr>
        <w:t xml:space="preserve">The report will be published on </w:t>
      </w:r>
      <w:r w:rsidR="00DF0FC6" w:rsidRPr="00042F16">
        <w:rPr>
          <w:rFonts w:ascii="Verdana" w:hAnsi="Verdana"/>
          <w:sz w:val="20"/>
          <w:szCs w:val="20"/>
        </w:rPr>
        <w:t>t</w:t>
      </w:r>
      <w:r w:rsidR="00083346" w:rsidRPr="00042F16">
        <w:rPr>
          <w:rFonts w:ascii="Verdana" w:hAnsi="Verdana"/>
          <w:sz w:val="20"/>
          <w:szCs w:val="20"/>
        </w:rPr>
        <w:t>he Company</w:t>
      </w:r>
      <w:r w:rsidR="00E253FF" w:rsidRPr="00042F16">
        <w:rPr>
          <w:rFonts w:ascii="Verdana" w:hAnsi="Verdana"/>
          <w:sz w:val="20"/>
          <w:szCs w:val="20"/>
        </w:rPr>
        <w:t xml:space="preserve">’s </w:t>
      </w:r>
      <w:r w:rsidRPr="00042F16">
        <w:rPr>
          <w:rFonts w:ascii="Verdana" w:hAnsi="Verdana"/>
          <w:sz w:val="20"/>
          <w:szCs w:val="20"/>
        </w:rPr>
        <w:t>website (</w:t>
      </w:r>
      <w:r w:rsidR="00E253FF" w:rsidRPr="00042F16">
        <w:rPr>
          <w:rFonts w:ascii="Verdana" w:hAnsi="Verdana"/>
          <w:sz w:val="20"/>
          <w:szCs w:val="20"/>
        </w:rPr>
        <w:t>https://www.capitalatwork</w:t>
      </w:r>
      <w:r w:rsidRPr="00042F16">
        <w:rPr>
          <w:rFonts w:ascii="Verdana" w:hAnsi="Verdana"/>
          <w:sz w:val="20"/>
          <w:szCs w:val="20"/>
        </w:rPr>
        <w:t>.com) and will not be subject to external audit, except to the extent that any disclosures are equivalent to tho</w:t>
      </w:r>
      <w:r w:rsidR="00042F16">
        <w:rPr>
          <w:rFonts w:ascii="Verdana" w:hAnsi="Verdana"/>
          <w:sz w:val="20"/>
          <w:szCs w:val="20"/>
        </w:rPr>
        <w:t>se made in the annual accounts.</w:t>
      </w:r>
    </w:p>
    <w:p w14:paraId="3F5B2688" w14:textId="77777777" w:rsidR="00042F16" w:rsidRPr="00042F16" w:rsidRDefault="00042F16" w:rsidP="00042F16">
      <w:pPr>
        <w:spacing w:after="0" w:line="240" w:lineRule="auto"/>
        <w:rPr>
          <w:rFonts w:ascii="Verdana" w:hAnsi="Verdana"/>
          <w:sz w:val="20"/>
          <w:szCs w:val="20"/>
        </w:rPr>
      </w:pPr>
    </w:p>
    <w:p w14:paraId="251F8DD0" w14:textId="77777777" w:rsidR="00E253FF" w:rsidRPr="00563B2C" w:rsidRDefault="00E253FF" w:rsidP="00042F16">
      <w:pPr>
        <w:pStyle w:val="Heading2"/>
        <w:spacing w:before="0" w:line="240" w:lineRule="auto"/>
        <w:ind w:left="567" w:hanging="567"/>
        <w:rPr>
          <w:rFonts w:ascii="Verdana" w:hAnsi="Verdana"/>
          <w:b/>
          <w:color w:val="6CACE4"/>
          <w:sz w:val="22"/>
          <w:szCs w:val="22"/>
        </w:rPr>
      </w:pPr>
      <w:bookmarkStart w:id="7" w:name="_Toc22716574"/>
      <w:r w:rsidRPr="00563B2C">
        <w:rPr>
          <w:rFonts w:ascii="Verdana" w:hAnsi="Verdana"/>
          <w:b/>
          <w:color w:val="6CACE4"/>
          <w:sz w:val="22"/>
          <w:szCs w:val="22"/>
        </w:rPr>
        <w:t>Materiality (Art. 432 CRR)</w:t>
      </w:r>
      <w:bookmarkEnd w:id="7"/>
    </w:p>
    <w:p w14:paraId="21D80AC3" w14:textId="77777777" w:rsidR="00042F16" w:rsidRPr="00042F16" w:rsidRDefault="00042F16" w:rsidP="00042F16">
      <w:pPr>
        <w:spacing w:after="0" w:line="240" w:lineRule="auto"/>
      </w:pPr>
    </w:p>
    <w:p w14:paraId="46901BC9" w14:textId="4B7EA992" w:rsidR="00E253FF" w:rsidRPr="00042F16" w:rsidRDefault="00E253FF" w:rsidP="00042F16">
      <w:pPr>
        <w:spacing w:after="0" w:line="240" w:lineRule="auto"/>
        <w:rPr>
          <w:rFonts w:ascii="Verdana" w:hAnsi="Verdana"/>
          <w:sz w:val="20"/>
          <w:szCs w:val="20"/>
        </w:rPr>
      </w:pPr>
      <w:r w:rsidRPr="00042F16">
        <w:rPr>
          <w:rFonts w:ascii="Verdana" w:hAnsi="Verdana"/>
          <w:sz w:val="20"/>
          <w:szCs w:val="20"/>
        </w:rPr>
        <w:t>According to CRR Art. 432 (1) institutions may omit one or more of the disclosures if the information provided by such disclosures is not regarded as material, except for the disclosures laid down in Art. 435(2</w:t>
      </w:r>
      <w:proofErr w:type="gramStart"/>
      <w:r w:rsidRPr="00042F16">
        <w:rPr>
          <w:rFonts w:ascii="Verdana" w:hAnsi="Verdana"/>
          <w:sz w:val="20"/>
          <w:szCs w:val="20"/>
        </w:rPr>
        <w:t>)(</w:t>
      </w:r>
      <w:proofErr w:type="gramEnd"/>
      <w:r w:rsidRPr="00042F16">
        <w:rPr>
          <w:rFonts w:ascii="Verdana" w:hAnsi="Verdana"/>
          <w:sz w:val="20"/>
          <w:szCs w:val="20"/>
        </w:rPr>
        <w:t>c), Art. 437 and Art. 450.</w:t>
      </w:r>
      <w:r w:rsidR="000D21F0" w:rsidRPr="00042F16">
        <w:rPr>
          <w:rFonts w:ascii="Verdana" w:hAnsi="Verdana"/>
          <w:sz w:val="20"/>
          <w:szCs w:val="20"/>
        </w:rPr>
        <w:t xml:space="preserve"> Those articles respectively refer to Risk management objectives and policies, own funds and remuneration policy.</w:t>
      </w:r>
    </w:p>
    <w:p w14:paraId="582BE79C" w14:textId="77777777" w:rsidR="00563B2C" w:rsidRDefault="00563B2C" w:rsidP="00042F16">
      <w:pPr>
        <w:spacing w:after="0" w:line="240" w:lineRule="auto"/>
        <w:rPr>
          <w:rFonts w:ascii="Verdana" w:hAnsi="Verdana"/>
          <w:sz w:val="20"/>
          <w:szCs w:val="20"/>
        </w:rPr>
      </w:pPr>
    </w:p>
    <w:p w14:paraId="2186C2D7" w14:textId="03EBF520" w:rsidR="00E253FF" w:rsidRDefault="00E253FF" w:rsidP="00042F16">
      <w:pPr>
        <w:spacing w:after="0" w:line="240" w:lineRule="auto"/>
        <w:rPr>
          <w:rFonts w:ascii="Verdana" w:hAnsi="Verdana"/>
          <w:sz w:val="20"/>
          <w:szCs w:val="20"/>
        </w:rPr>
      </w:pPr>
      <w:r w:rsidRPr="00042F16">
        <w:rPr>
          <w:rFonts w:ascii="Verdana" w:hAnsi="Verdana"/>
          <w:sz w:val="20"/>
          <w:szCs w:val="20"/>
        </w:rPr>
        <w:t xml:space="preserve">Information </w:t>
      </w:r>
      <w:r w:rsidR="003858DC" w:rsidRPr="00042F16">
        <w:rPr>
          <w:rFonts w:ascii="Verdana" w:hAnsi="Verdana"/>
          <w:sz w:val="20"/>
          <w:szCs w:val="20"/>
        </w:rPr>
        <w:t xml:space="preserve">is </w:t>
      </w:r>
      <w:r w:rsidRPr="00042F16">
        <w:rPr>
          <w:rFonts w:ascii="Verdana" w:hAnsi="Verdana"/>
          <w:sz w:val="20"/>
          <w:szCs w:val="20"/>
        </w:rPr>
        <w:t xml:space="preserve">not material if </w:t>
      </w:r>
      <w:r w:rsidR="003858DC" w:rsidRPr="00042F16">
        <w:rPr>
          <w:rFonts w:ascii="Verdana" w:hAnsi="Verdana"/>
          <w:sz w:val="20"/>
          <w:szCs w:val="20"/>
        </w:rPr>
        <w:t xml:space="preserve">its </w:t>
      </w:r>
      <w:r w:rsidRPr="00042F16">
        <w:rPr>
          <w:rFonts w:ascii="Verdana" w:hAnsi="Verdana"/>
          <w:sz w:val="20"/>
          <w:szCs w:val="20"/>
        </w:rPr>
        <w:t xml:space="preserve">omission or misstatement could not change or influence the assessment or decision of a user relying on that information for the purpose of making economic decisions. </w:t>
      </w:r>
    </w:p>
    <w:p w14:paraId="27612237" w14:textId="77777777" w:rsidR="00563B2C" w:rsidRDefault="00563B2C" w:rsidP="00042F16">
      <w:pPr>
        <w:spacing w:after="0" w:line="240" w:lineRule="auto"/>
        <w:rPr>
          <w:rFonts w:ascii="Verdana" w:hAnsi="Verdana"/>
          <w:sz w:val="20"/>
          <w:szCs w:val="20"/>
        </w:rPr>
      </w:pPr>
    </w:p>
    <w:p w14:paraId="546A69F3" w14:textId="77777777" w:rsidR="00563B2C" w:rsidRDefault="00563B2C" w:rsidP="00042F16">
      <w:pPr>
        <w:spacing w:after="0" w:line="240" w:lineRule="auto"/>
        <w:rPr>
          <w:rFonts w:ascii="Verdana" w:hAnsi="Verdana"/>
          <w:sz w:val="20"/>
          <w:szCs w:val="20"/>
        </w:rPr>
      </w:pPr>
    </w:p>
    <w:p w14:paraId="116F848B" w14:textId="77777777" w:rsidR="00563B2C" w:rsidRDefault="00563B2C" w:rsidP="00042F16">
      <w:pPr>
        <w:spacing w:after="0" w:line="240" w:lineRule="auto"/>
        <w:rPr>
          <w:rFonts w:ascii="Verdana" w:hAnsi="Verdana"/>
          <w:sz w:val="20"/>
          <w:szCs w:val="20"/>
        </w:rPr>
      </w:pPr>
    </w:p>
    <w:p w14:paraId="7821A5EA" w14:textId="77777777" w:rsidR="00042F16" w:rsidRPr="00042F16" w:rsidRDefault="00042F16" w:rsidP="00042F16">
      <w:pPr>
        <w:spacing w:after="0" w:line="240" w:lineRule="auto"/>
        <w:rPr>
          <w:rFonts w:ascii="Verdana" w:hAnsi="Verdana"/>
          <w:sz w:val="20"/>
          <w:szCs w:val="20"/>
        </w:rPr>
      </w:pPr>
    </w:p>
    <w:p w14:paraId="49ED7D42" w14:textId="77777777" w:rsidR="00E253FF" w:rsidRPr="00563B2C" w:rsidRDefault="00E253FF" w:rsidP="00042F16">
      <w:pPr>
        <w:pStyle w:val="Heading2"/>
        <w:spacing w:before="0" w:line="240" w:lineRule="auto"/>
        <w:ind w:left="567" w:hanging="567"/>
        <w:rPr>
          <w:rFonts w:ascii="Verdana" w:hAnsi="Verdana"/>
          <w:b/>
          <w:color w:val="6CACE4"/>
          <w:sz w:val="22"/>
          <w:szCs w:val="22"/>
        </w:rPr>
      </w:pPr>
      <w:bookmarkStart w:id="8" w:name="_Toc22716575"/>
      <w:r w:rsidRPr="00563B2C">
        <w:rPr>
          <w:rFonts w:ascii="Verdana" w:hAnsi="Verdana"/>
          <w:b/>
          <w:color w:val="6CACE4"/>
          <w:sz w:val="22"/>
          <w:szCs w:val="22"/>
        </w:rPr>
        <w:lastRenderedPageBreak/>
        <w:t>Proprietary or confidential information (Art. 432 CRR)</w:t>
      </w:r>
      <w:bookmarkEnd w:id="8"/>
    </w:p>
    <w:p w14:paraId="54CB80F3" w14:textId="77777777" w:rsidR="00042F16" w:rsidRPr="00042F16" w:rsidRDefault="00042F16" w:rsidP="00042F16">
      <w:pPr>
        <w:spacing w:after="0" w:line="240" w:lineRule="auto"/>
      </w:pPr>
    </w:p>
    <w:p w14:paraId="36EB2DEF" w14:textId="77777777" w:rsidR="00E253FF" w:rsidRPr="00042F16" w:rsidRDefault="00E253FF" w:rsidP="00042F16">
      <w:pPr>
        <w:spacing w:after="0" w:line="240" w:lineRule="auto"/>
        <w:rPr>
          <w:rFonts w:ascii="Verdana" w:hAnsi="Verdana"/>
          <w:sz w:val="20"/>
          <w:szCs w:val="20"/>
        </w:rPr>
      </w:pPr>
      <w:r w:rsidRPr="00042F16">
        <w:rPr>
          <w:rFonts w:ascii="Verdana" w:hAnsi="Verdana"/>
          <w:sz w:val="20"/>
          <w:szCs w:val="20"/>
        </w:rPr>
        <w:t>According to CRR Art. 432(2) institutions may omit one or more items of information included in the disclosures listed in Titles II and III if those items include information which is regarded as proprietary or confidential, except for the disclosures laid down in Art. 437 and Art. 450.</w:t>
      </w:r>
    </w:p>
    <w:p w14:paraId="7E3C863C" w14:textId="77777777" w:rsidR="00563B2C" w:rsidRDefault="00563B2C" w:rsidP="00042F16">
      <w:pPr>
        <w:spacing w:after="0" w:line="240" w:lineRule="auto"/>
        <w:rPr>
          <w:rFonts w:ascii="Verdana" w:hAnsi="Verdana"/>
          <w:sz w:val="20"/>
          <w:szCs w:val="20"/>
        </w:rPr>
      </w:pPr>
    </w:p>
    <w:p w14:paraId="774E054F" w14:textId="77777777" w:rsidR="00E253FF" w:rsidRPr="00042F16" w:rsidRDefault="00E253FF" w:rsidP="00042F16">
      <w:pPr>
        <w:spacing w:after="0" w:line="240" w:lineRule="auto"/>
        <w:rPr>
          <w:rFonts w:ascii="Verdana" w:hAnsi="Verdana"/>
          <w:sz w:val="20"/>
          <w:szCs w:val="20"/>
        </w:rPr>
      </w:pPr>
      <w:r w:rsidRPr="00042F16">
        <w:rPr>
          <w:rFonts w:ascii="Verdana" w:hAnsi="Verdana"/>
          <w:sz w:val="20"/>
          <w:szCs w:val="20"/>
        </w:rPr>
        <w:t>Information shall be regarded as proprietary to institutions if disclosing it publicly would undermine its competitive position. It may include information on products or systems which, if shared with competitors, would render an institution’s investments therein less valuable. Information shall be regarded as confidential if there are obligations to customers or other counterparty relationships binding an institution to confidentiality.</w:t>
      </w:r>
    </w:p>
    <w:p w14:paraId="72F69F69" w14:textId="77777777" w:rsidR="00563B2C" w:rsidRDefault="00563B2C" w:rsidP="00042F16">
      <w:pPr>
        <w:spacing w:after="0" w:line="240" w:lineRule="auto"/>
        <w:rPr>
          <w:rFonts w:ascii="Verdana" w:hAnsi="Verdana"/>
          <w:sz w:val="20"/>
          <w:szCs w:val="20"/>
        </w:rPr>
      </w:pPr>
    </w:p>
    <w:p w14:paraId="22AD08F2" w14:textId="7F5B3CD7" w:rsidR="002F1CD7" w:rsidRDefault="00E253FF" w:rsidP="00042F16">
      <w:pPr>
        <w:spacing w:after="0" w:line="240" w:lineRule="auto"/>
        <w:rPr>
          <w:rFonts w:ascii="Verdana" w:hAnsi="Verdana"/>
          <w:sz w:val="20"/>
          <w:szCs w:val="20"/>
        </w:rPr>
      </w:pPr>
      <w:r w:rsidRPr="00042F16">
        <w:rPr>
          <w:rFonts w:ascii="Verdana" w:hAnsi="Verdana"/>
          <w:sz w:val="20"/>
          <w:szCs w:val="20"/>
        </w:rPr>
        <w:t>Where information has been omitted from these disclosure in relation to the CRR Art. 432, this has been stated in the relevant sections.</w:t>
      </w:r>
    </w:p>
    <w:p w14:paraId="6A39FCF6" w14:textId="77777777" w:rsidR="00042F16" w:rsidRPr="00042F16" w:rsidRDefault="00042F16" w:rsidP="00042F16">
      <w:pPr>
        <w:spacing w:after="0" w:line="240" w:lineRule="auto"/>
        <w:rPr>
          <w:rFonts w:ascii="Verdana" w:hAnsi="Verdana"/>
          <w:sz w:val="20"/>
          <w:szCs w:val="20"/>
        </w:rPr>
      </w:pPr>
    </w:p>
    <w:p w14:paraId="633D0261" w14:textId="44249B0C" w:rsidR="00E253FF" w:rsidRPr="00563B2C" w:rsidRDefault="002F1CD7" w:rsidP="00042F16">
      <w:pPr>
        <w:pStyle w:val="Heading1"/>
        <w:spacing w:before="0" w:after="0" w:line="240" w:lineRule="auto"/>
        <w:ind w:left="567" w:hanging="567"/>
        <w:rPr>
          <w:rFonts w:ascii="Verdana" w:hAnsi="Verdana"/>
          <w:b/>
          <w:color w:val="6CACE4"/>
          <w:sz w:val="24"/>
          <w:szCs w:val="24"/>
          <w:u w:val="single"/>
        </w:rPr>
      </w:pPr>
      <w:bookmarkStart w:id="9" w:name="_Toc22716576"/>
      <w:r w:rsidRPr="00563B2C">
        <w:rPr>
          <w:rFonts w:ascii="Verdana" w:hAnsi="Verdana"/>
          <w:b/>
          <w:color w:val="6CACE4"/>
          <w:sz w:val="24"/>
          <w:szCs w:val="24"/>
          <w:u w:val="single"/>
        </w:rPr>
        <w:t>Governance and Risk Management Framework</w:t>
      </w:r>
      <w:bookmarkEnd w:id="9"/>
    </w:p>
    <w:p w14:paraId="08C85A45" w14:textId="77777777" w:rsidR="00042F16" w:rsidRPr="00042F16" w:rsidRDefault="00042F16" w:rsidP="00042F16">
      <w:pPr>
        <w:spacing w:after="0" w:line="240" w:lineRule="auto"/>
      </w:pPr>
    </w:p>
    <w:p w14:paraId="7B9BF153" w14:textId="08DA6CFA" w:rsidR="002F1CD7" w:rsidRPr="00563B2C" w:rsidRDefault="002F1CD7" w:rsidP="00042F16">
      <w:pPr>
        <w:pStyle w:val="Heading2"/>
        <w:spacing w:before="0" w:line="240" w:lineRule="auto"/>
        <w:ind w:left="567" w:hanging="567"/>
        <w:rPr>
          <w:rFonts w:ascii="Verdana" w:hAnsi="Verdana"/>
          <w:b/>
          <w:color w:val="6CACE4"/>
          <w:sz w:val="22"/>
          <w:szCs w:val="22"/>
        </w:rPr>
      </w:pPr>
      <w:bookmarkStart w:id="10" w:name="_Toc22716577"/>
      <w:r w:rsidRPr="00563B2C">
        <w:rPr>
          <w:rFonts w:ascii="Verdana" w:hAnsi="Verdana"/>
          <w:b/>
          <w:color w:val="6CACE4"/>
          <w:sz w:val="22"/>
          <w:szCs w:val="22"/>
        </w:rPr>
        <w:t>Governance Framework (Art. 435 CRR)</w:t>
      </w:r>
      <w:bookmarkEnd w:id="10"/>
    </w:p>
    <w:p w14:paraId="44877A3C" w14:textId="77777777" w:rsidR="00042F16" w:rsidRPr="00042F16" w:rsidRDefault="00042F16" w:rsidP="00042F16">
      <w:pPr>
        <w:spacing w:after="0" w:line="240" w:lineRule="auto"/>
      </w:pPr>
    </w:p>
    <w:p w14:paraId="2886073F" w14:textId="7747AB9F" w:rsidR="00184A51" w:rsidRPr="00042F16" w:rsidRDefault="00184A51"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To ensure the effectiveness of </w:t>
      </w:r>
      <w:r w:rsidR="00DF0FC6" w:rsidRPr="00042F16">
        <w:rPr>
          <w:rFonts w:ascii="Verdana" w:hAnsi="Verdana" w:cstheme="minorHAnsi"/>
          <w:sz w:val="20"/>
          <w:szCs w:val="20"/>
        </w:rPr>
        <w:t>t</w:t>
      </w:r>
      <w:r w:rsidR="00083346" w:rsidRPr="00042F16">
        <w:rPr>
          <w:rFonts w:ascii="Verdana" w:hAnsi="Verdana" w:cstheme="minorHAnsi"/>
          <w:sz w:val="20"/>
          <w:szCs w:val="20"/>
        </w:rPr>
        <w:t>he Company</w:t>
      </w:r>
      <w:r w:rsidRPr="00042F16">
        <w:rPr>
          <w:rFonts w:ascii="Verdana" w:hAnsi="Verdana" w:cstheme="minorHAnsi"/>
          <w:sz w:val="20"/>
          <w:szCs w:val="20"/>
        </w:rPr>
        <w:t xml:space="preserve">’s risk management framework, the Board of Directors </w:t>
      </w:r>
      <w:r w:rsidR="000C6BA5" w:rsidRPr="00042F16">
        <w:rPr>
          <w:rFonts w:ascii="Verdana" w:hAnsi="Verdana" w:cstheme="minorHAnsi"/>
          <w:sz w:val="20"/>
          <w:szCs w:val="20"/>
        </w:rPr>
        <w:t>(hereinafter “</w:t>
      </w:r>
      <w:proofErr w:type="spellStart"/>
      <w:r w:rsidR="000C6BA5" w:rsidRPr="00042F16">
        <w:rPr>
          <w:rFonts w:ascii="Verdana" w:hAnsi="Verdana" w:cstheme="minorHAnsi"/>
          <w:sz w:val="20"/>
          <w:szCs w:val="20"/>
        </w:rPr>
        <w:t>BoD</w:t>
      </w:r>
      <w:proofErr w:type="spellEnd"/>
      <w:r w:rsidR="000C6BA5" w:rsidRPr="00042F16">
        <w:rPr>
          <w:rFonts w:ascii="Verdana" w:hAnsi="Verdana" w:cstheme="minorHAnsi"/>
          <w:sz w:val="20"/>
          <w:szCs w:val="20"/>
        </w:rPr>
        <w:t xml:space="preserve">”) </w:t>
      </w:r>
      <w:r w:rsidRPr="00042F16">
        <w:rPr>
          <w:rFonts w:ascii="Verdana" w:hAnsi="Verdana" w:cstheme="minorHAnsi"/>
          <w:sz w:val="20"/>
          <w:szCs w:val="20"/>
        </w:rPr>
        <w:t xml:space="preserve">and senior management have established the “Three lines of Defence” </w:t>
      </w:r>
      <w:r w:rsidR="00FB085D" w:rsidRPr="00042F16">
        <w:rPr>
          <w:rFonts w:ascii="Verdana" w:hAnsi="Verdana" w:cstheme="minorHAnsi"/>
          <w:sz w:val="20"/>
          <w:szCs w:val="20"/>
        </w:rPr>
        <w:t>model, which</w:t>
      </w:r>
      <w:r w:rsidRPr="00042F16">
        <w:rPr>
          <w:rFonts w:ascii="Verdana" w:hAnsi="Verdana" w:cstheme="minorHAnsi"/>
          <w:sz w:val="20"/>
          <w:szCs w:val="20"/>
        </w:rPr>
        <w:t xml:space="preserve"> is in line with the provisions of CSSF Circular 12/552</w:t>
      </w:r>
      <w:r w:rsidR="003858DC" w:rsidRPr="00042F16">
        <w:rPr>
          <w:rFonts w:ascii="Verdana" w:hAnsi="Verdana" w:cstheme="minorHAnsi"/>
          <w:sz w:val="20"/>
          <w:szCs w:val="20"/>
        </w:rPr>
        <w:t xml:space="preserve"> and articles 35 – 40 of the Belgian Law of 25 April 2014</w:t>
      </w:r>
      <w:r w:rsidRPr="00042F16">
        <w:rPr>
          <w:rFonts w:ascii="Verdana" w:hAnsi="Verdana" w:cstheme="minorHAnsi"/>
          <w:sz w:val="20"/>
          <w:szCs w:val="20"/>
        </w:rPr>
        <w:t>.</w:t>
      </w:r>
    </w:p>
    <w:p w14:paraId="38D0CCBC" w14:textId="7BF02F13" w:rsidR="00184A51" w:rsidRPr="00042F16" w:rsidRDefault="00184A51" w:rsidP="00042F16">
      <w:pPr>
        <w:pStyle w:val="ListParagraph"/>
        <w:numPr>
          <w:ilvl w:val="0"/>
          <w:numId w:val="2"/>
        </w:numPr>
        <w:spacing w:after="0" w:line="240" w:lineRule="auto"/>
        <w:rPr>
          <w:rFonts w:ascii="Verdana" w:hAnsi="Verdana" w:cstheme="minorHAnsi"/>
          <w:sz w:val="20"/>
          <w:szCs w:val="20"/>
        </w:rPr>
      </w:pPr>
      <w:r w:rsidRPr="00042F16">
        <w:rPr>
          <w:rFonts w:ascii="Verdana" w:hAnsi="Verdana" w:cstheme="minorHAnsi"/>
          <w:sz w:val="20"/>
          <w:szCs w:val="20"/>
        </w:rPr>
        <w:t>First line of defence: functions that own and manage risk</w:t>
      </w:r>
      <w:r w:rsidR="00D42EF5" w:rsidRPr="00042F16">
        <w:rPr>
          <w:rFonts w:ascii="Verdana" w:hAnsi="Verdana" w:cstheme="minorHAnsi"/>
          <w:sz w:val="20"/>
          <w:szCs w:val="20"/>
        </w:rPr>
        <w:t xml:space="preserve"> ;</w:t>
      </w:r>
    </w:p>
    <w:p w14:paraId="3D4B21C3" w14:textId="17B31DD5" w:rsidR="00184A51" w:rsidRPr="00042F16" w:rsidRDefault="00184A51" w:rsidP="00042F16">
      <w:pPr>
        <w:pStyle w:val="ListParagraph"/>
        <w:numPr>
          <w:ilvl w:val="0"/>
          <w:numId w:val="2"/>
        </w:numPr>
        <w:spacing w:after="0" w:line="240" w:lineRule="auto"/>
        <w:rPr>
          <w:rFonts w:ascii="Verdana" w:hAnsi="Verdana" w:cstheme="minorHAnsi"/>
          <w:sz w:val="20"/>
          <w:szCs w:val="20"/>
        </w:rPr>
      </w:pPr>
      <w:r w:rsidRPr="00042F16">
        <w:rPr>
          <w:rFonts w:ascii="Verdana" w:hAnsi="Verdana" w:cstheme="minorHAnsi"/>
          <w:sz w:val="20"/>
          <w:szCs w:val="20"/>
        </w:rPr>
        <w:t>Second line of defence: functions that oversee the risk across the company and that is specialised in risk management, compliance</w:t>
      </w:r>
      <w:r w:rsidR="00D42EF5" w:rsidRPr="00042F16">
        <w:rPr>
          <w:rFonts w:ascii="Verdana" w:hAnsi="Verdana" w:cstheme="minorHAnsi"/>
          <w:sz w:val="20"/>
          <w:szCs w:val="20"/>
        </w:rPr>
        <w:t xml:space="preserve"> ;</w:t>
      </w:r>
    </w:p>
    <w:p w14:paraId="3F9C20F3" w14:textId="3AB90B8D" w:rsidR="00161DB6" w:rsidRPr="00042F16" w:rsidRDefault="00184A51" w:rsidP="00042F16">
      <w:pPr>
        <w:pStyle w:val="ListParagraph"/>
        <w:numPr>
          <w:ilvl w:val="0"/>
          <w:numId w:val="2"/>
        </w:numPr>
        <w:spacing w:after="0" w:line="240" w:lineRule="auto"/>
        <w:rPr>
          <w:rFonts w:ascii="Verdana" w:hAnsi="Verdana" w:cstheme="minorHAnsi"/>
          <w:sz w:val="20"/>
          <w:szCs w:val="20"/>
        </w:rPr>
      </w:pPr>
      <w:r w:rsidRPr="00042F16">
        <w:rPr>
          <w:rFonts w:ascii="Verdana" w:hAnsi="Verdana" w:cstheme="minorHAnsi"/>
          <w:sz w:val="20"/>
          <w:szCs w:val="20"/>
        </w:rPr>
        <w:t xml:space="preserve">Third line of defence: functions that provide independent assurance, above all internal </w:t>
      </w:r>
      <w:r w:rsidR="00161DB6" w:rsidRPr="00042F16">
        <w:rPr>
          <w:rFonts w:ascii="Verdana" w:hAnsi="Verdana" w:cstheme="minorHAnsi"/>
          <w:sz w:val="20"/>
          <w:szCs w:val="20"/>
        </w:rPr>
        <w:t>audit</w:t>
      </w:r>
      <w:r w:rsidR="00D42EF5" w:rsidRPr="00042F16">
        <w:rPr>
          <w:rFonts w:ascii="Verdana" w:hAnsi="Verdana" w:cstheme="minorHAnsi"/>
          <w:sz w:val="20"/>
          <w:szCs w:val="20"/>
        </w:rPr>
        <w:t>.</w:t>
      </w:r>
    </w:p>
    <w:p w14:paraId="1C722BEC" w14:textId="77777777" w:rsidR="00F71FFD" w:rsidRPr="00042F16" w:rsidRDefault="00F71FFD" w:rsidP="00042F16">
      <w:pPr>
        <w:pStyle w:val="Subtitle"/>
        <w:spacing w:after="0"/>
        <w:rPr>
          <w:rFonts w:ascii="Verdana" w:hAnsi="Verdana" w:cstheme="minorHAnsi"/>
          <w:sz w:val="20"/>
          <w:szCs w:val="20"/>
        </w:rPr>
      </w:pPr>
    </w:p>
    <w:p w14:paraId="71ABAD44" w14:textId="7929472A" w:rsidR="009A36A1" w:rsidRPr="00042F16" w:rsidRDefault="00676A98" w:rsidP="00042F16">
      <w:pPr>
        <w:pStyle w:val="Subtitle"/>
        <w:spacing w:after="0"/>
        <w:rPr>
          <w:rFonts w:ascii="Verdana" w:hAnsi="Verdana" w:cstheme="minorHAnsi"/>
          <w:sz w:val="20"/>
          <w:szCs w:val="20"/>
        </w:rPr>
      </w:pPr>
      <w:r w:rsidRPr="00042F16">
        <w:rPr>
          <w:rFonts w:ascii="Verdana" w:hAnsi="Verdana" w:cstheme="minorHAnsi"/>
          <w:sz w:val="20"/>
          <w:szCs w:val="20"/>
        </w:rPr>
        <w:t>Board of Directors</w:t>
      </w:r>
      <w:r w:rsidR="00F735DA" w:rsidRPr="00042F16">
        <w:rPr>
          <w:rFonts w:ascii="Verdana" w:hAnsi="Verdana" w:cstheme="minorHAnsi"/>
          <w:sz w:val="20"/>
          <w:szCs w:val="20"/>
        </w:rPr>
        <w:t xml:space="preserve"> (</w:t>
      </w:r>
      <w:proofErr w:type="spellStart"/>
      <w:r w:rsidR="00F735DA" w:rsidRPr="00042F16">
        <w:rPr>
          <w:rFonts w:ascii="Verdana" w:hAnsi="Verdana" w:cstheme="minorHAnsi"/>
          <w:sz w:val="20"/>
          <w:szCs w:val="20"/>
        </w:rPr>
        <w:t>BoD</w:t>
      </w:r>
      <w:proofErr w:type="spellEnd"/>
      <w:r w:rsidR="00F735DA" w:rsidRPr="00042F16">
        <w:rPr>
          <w:rFonts w:ascii="Verdana" w:hAnsi="Verdana" w:cstheme="minorHAnsi"/>
          <w:sz w:val="20"/>
          <w:szCs w:val="20"/>
        </w:rPr>
        <w:t>)</w:t>
      </w:r>
    </w:p>
    <w:p w14:paraId="5EDEF675" w14:textId="77777777" w:rsidR="00042F16" w:rsidRDefault="00042F16" w:rsidP="00042F16">
      <w:pPr>
        <w:spacing w:after="0" w:line="240" w:lineRule="auto"/>
        <w:rPr>
          <w:rFonts w:ascii="Verdana" w:hAnsi="Verdana" w:cstheme="minorHAnsi"/>
          <w:sz w:val="20"/>
          <w:szCs w:val="20"/>
        </w:rPr>
      </w:pPr>
    </w:p>
    <w:p w14:paraId="62230D80" w14:textId="1E9004AD" w:rsidR="00AF1D2D" w:rsidRPr="00042F16" w:rsidRDefault="00083346" w:rsidP="00042F16">
      <w:pPr>
        <w:spacing w:after="0" w:line="240" w:lineRule="auto"/>
        <w:rPr>
          <w:rFonts w:ascii="Verdana" w:hAnsi="Verdana" w:cstheme="minorHAnsi"/>
          <w:sz w:val="20"/>
          <w:szCs w:val="20"/>
        </w:rPr>
      </w:pPr>
      <w:r w:rsidRPr="00042F16">
        <w:rPr>
          <w:rFonts w:ascii="Verdana" w:hAnsi="Verdana" w:cstheme="minorHAnsi"/>
          <w:sz w:val="20"/>
          <w:szCs w:val="20"/>
        </w:rPr>
        <w:t>The Company</w:t>
      </w:r>
      <w:r w:rsidR="003858DC" w:rsidRPr="00042F16">
        <w:rPr>
          <w:rFonts w:ascii="Verdana" w:hAnsi="Verdana" w:cstheme="minorHAnsi"/>
          <w:sz w:val="20"/>
          <w:szCs w:val="20"/>
        </w:rPr>
        <w:t>’s</w:t>
      </w:r>
      <w:r w:rsidR="00AF1D2D" w:rsidRPr="00042F16">
        <w:rPr>
          <w:rFonts w:ascii="Verdana" w:hAnsi="Verdana" w:cstheme="minorHAnsi"/>
          <w:sz w:val="20"/>
          <w:szCs w:val="20"/>
        </w:rPr>
        <w:t xml:space="preserve"> </w:t>
      </w:r>
      <w:proofErr w:type="spellStart"/>
      <w:r w:rsidR="000C6BA5" w:rsidRPr="00042F16">
        <w:rPr>
          <w:rFonts w:ascii="Verdana" w:hAnsi="Verdana" w:cstheme="minorHAnsi"/>
          <w:sz w:val="20"/>
          <w:szCs w:val="20"/>
        </w:rPr>
        <w:t>BoD</w:t>
      </w:r>
      <w:proofErr w:type="spellEnd"/>
      <w:r w:rsidR="00AF1D2D" w:rsidRPr="00042F16">
        <w:rPr>
          <w:rFonts w:ascii="Verdana" w:hAnsi="Verdana" w:cstheme="minorHAnsi"/>
          <w:sz w:val="20"/>
          <w:szCs w:val="20"/>
        </w:rPr>
        <w:t xml:space="preserve"> is responsible for:</w:t>
      </w:r>
    </w:p>
    <w:p w14:paraId="75C9D4D1" w14:textId="33B39339" w:rsidR="00AF1D2D" w:rsidRPr="00042F16" w:rsidRDefault="00AF1D2D" w:rsidP="00042F16">
      <w:pPr>
        <w:pStyle w:val="ListParagraph"/>
        <w:numPr>
          <w:ilvl w:val="0"/>
          <w:numId w:val="3"/>
        </w:numPr>
        <w:spacing w:after="0" w:line="240" w:lineRule="auto"/>
        <w:rPr>
          <w:rFonts w:ascii="Verdana" w:hAnsi="Verdana" w:cstheme="minorHAnsi"/>
          <w:sz w:val="20"/>
          <w:szCs w:val="20"/>
        </w:rPr>
      </w:pPr>
      <w:r w:rsidRPr="00042F16">
        <w:rPr>
          <w:rFonts w:ascii="Verdana" w:hAnsi="Verdana" w:cstheme="minorHAnsi"/>
          <w:sz w:val="20"/>
          <w:szCs w:val="20"/>
        </w:rPr>
        <w:t>Determining the risk profile and tolerance (Risk appetite) within the Group</w:t>
      </w:r>
      <w:r w:rsidR="003858DC" w:rsidRPr="00042F16">
        <w:rPr>
          <w:rFonts w:ascii="Verdana" w:hAnsi="Verdana" w:cstheme="minorHAnsi"/>
          <w:sz w:val="20"/>
          <w:szCs w:val="20"/>
        </w:rPr>
        <w:t>;</w:t>
      </w:r>
    </w:p>
    <w:p w14:paraId="5AF656A7" w14:textId="03F96E08" w:rsidR="00AF1D2D" w:rsidRPr="00042F16" w:rsidRDefault="00161DB6" w:rsidP="00042F16">
      <w:pPr>
        <w:pStyle w:val="ListParagraph"/>
        <w:numPr>
          <w:ilvl w:val="0"/>
          <w:numId w:val="3"/>
        </w:numPr>
        <w:spacing w:after="0" w:line="240" w:lineRule="auto"/>
        <w:rPr>
          <w:rFonts w:ascii="Verdana" w:hAnsi="Verdana" w:cstheme="minorHAnsi"/>
          <w:sz w:val="20"/>
          <w:szCs w:val="20"/>
        </w:rPr>
      </w:pPr>
      <w:r w:rsidRPr="00042F16">
        <w:rPr>
          <w:rFonts w:ascii="Verdana" w:hAnsi="Verdana" w:cstheme="minorHAnsi"/>
          <w:sz w:val="20"/>
          <w:szCs w:val="20"/>
        </w:rPr>
        <w:t xml:space="preserve">Setting the </w:t>
      </w:r>
      <w:r w:rsidR="003858DC" w:rsidRPr="00042F16">
        <w:rPr>
          <w:rFonts w:ascii="Verdana" w:hAnsi="Verdana" w:cstheme="minorHAnsi"/>
          <w:sz w:val="20"/>
          <w:szCs w:val="20"/>
        </w:rPr>
        <w:t>s</w:t>
      </w:r>
      <w:r w:rsidRPr="00042F16">
        <w:rPr>
          <w:rFonts w:ascii="Verdana" w:hAnsi="Verdana" w:cstheme="minorHAnsi"/>
          <w:sz w:val="20"/>
          <w:szCs w:val="20"/>
        </w:rPr>
        <w:t xml:space="preserve">trategic </w:t>
      </w:r>
      <w:r w:rsidR="003858DC" w:rsidRPr="00042F16">
        <w:rPr>
          <w:rFonts w:ascii="Verdana" w:hAnsi="Verdana" w:cstheme="minorHAnsi"/>
          <w:sz w:val="20"/>
          <w:szCs w:val="20"/>
        </w:rPr>
        <w:t>r</w:t>
      </w:r>
      <w:r w:rsidRPr="00042F16">
        <w:rPr>
          <w:rFonts w:ascii="Verdana" w:hAnsi="Verdana" w:cstheme="minorHAnsi"/>
          <w:sz w:val="20"/>
          <w:szCs w:val="20"/>
        </w:rPr>
        <w:t>isk management</w:t>
      </w:r>
      <w:r w:rsidR="00AF1D2D" w:rsidRPr="00042F16">
        <w:rPr>
          <w:rFonts w:ascii="Verdana" w:hAnsi="Verdana" w:cstheme="minorHAnsi"/>
          <w:sz w:val="20"/>
          <w:szCs w:val="20"/>
        </w:rPr>
        <w:t xml:space="preserve"> objectives</w:t>
      </w:r>
      <w:r w:rsidR="003858DC" w:rsidRPr="00042F16">
        <w:rPr>
          <w:rFonts w:ascii="Verdana" w:hAnsi="Verdana" w:cstheme="minorHAnsi"/>
          <w:sz w:val="20"/>
          <w:szCs w:val="20"/>
        </w:rPr>
        <w:t>;</w:t>
      </w:r>
    </w:p>
    <w:p w14:paraId="0A662EC3" w14:textId="18E37E6F" w:rsidR="00AF1D2D" w:rsidRDefault="00AF1D2D" w:rsidP="00042F16">
      <w:pPr>
        <w:pStyle w:val="ListParagraph"/>
        <w:numPr>
          <w:ilvl w:val="0"/>
          <w:numId w:val="3"/>
        </w:numPr>
        <w:spacing w:after="0" w:line="240" w:lineRule="auto"/>
        <w:rPr>
          <w:rFonts w:ascii="Verdana" w:hAnsi="Verdana" w:cstheme="minorHAnsi"/>
          <w:sz w:val="20"/>
          <w:szCs w:val="20"/>
        </w:rPr>
      </w:pPr>
      <w:r w:rsidRPr="00042F16">
        <w:rPr>
          <w:rFonts w:ascii="Verdana" w:hAnsi="Verdana" w:cstheme="minorHAnsi"/>
          <w:sz w:val="20"/>
          <w:szCs w:val="20"/>
        </w:rPr>
        <w:t>Assigning related ec</w:t>
      </w:r>
      <w:r w:rsidR="00FB085D" w:rsidRPr="00042F16">
        <w:rPr>
          <w:rFonts w:ascii="Verdana" w:hAnsi="Verdana" w:cstheme="minorHAnsi"/>
          <w:sz w:val="20"/>
          <w:szCs w:val="20"/>
        </w:rPr>
        <w:t>onomic capital</w:t>
      </w:r>
      <w:r w:rsidR="003858DC" w:rsidRPr="00042F16">
        <w:rPr>
          <w:rFonts w:ascii="Verdana" w:hAnsi="Verdana" w:cstheme="minorHAnsi"/>
          <w:sz w:val="20"/>
          <w:szCs w:val="20"/>
        </w:rPr>
        <w:t>.</w:t>
      </w:r>
    </w:p>
    <w:p w14:paraId="1C6930AF" w14:textId="77777777" w:rsidR="00042F16" w:rsidRPr="00042F16" w:rsidRDefault="00042F16" w:rsidP="00042F16">
      <w:pPr>
        <w:pStyle w:val="ListParagraph"/>
        <w:spacing w:after="0" w:line="240" w:lineRule="auto"/>
        <w:rPr>
          <w:rFonts w:ascii="Verdana" w:hAnsi="Verdana" w:cstheme="minorHAnsi"/>
          <w:sz w:val="20"/>
          <w:szCs w:val="20"/>
        </w:rPr>
      </w:pPr>
    </w:p>
    <w:p w14:paraId="12D756BE" w14:textId="6B77DFCA" w:rsidR="00660225" w:rsidRPr="00042F16" w:rsidRDefault="00660225" w:rsidP="00042F16">
      <w:pPr>
        <w:pStyle w:val="Caption"/>
        <w:spacing w:after="0"/>
        <w:rPr>
          <w:rFonts w:ascii="Verdana" w:hAnsi="Verdana"/>
          <w:color w:val="auto"/>
          <w:sz w:val="20"/>
          <w:szCs w:val="20"/>
        </w:rPr>
      </w:pPr>
      <w:bookmarkStart w:id="11" w:name="_Toc22716625"/>
      <w:r w:rsidRPr="00042F16">
        <w:rPr>
          <w:rFonts w:ascii="Verdana" w:hAnsi="Verdana"/>
          <w:color w:val="auto"/>
          <w:sz w:val="20"/>
          <w:szCs w:val="20"/>
        </w:rPr>
        <w:t xml:space="preserve">Table </w:t>
      </w:r>
      <w:r w:rsidRPr="00042F16">
        <w:rPr>
          <w:rFonts w:ascii="Verdana" w:hAnsi="Verdana"/>
          <w:color w:val="auto"/>
          <w:sz w:val="20"/>
          <w:szCs w:val="20"/>
        </w:rPr>
        <w:fldChar w:fldCharType="begin"/>
      </w:r>
      <w:r w:rsidRPr="00042F16">
        <w:rPr>
          <w:rFonts w:ascii="Verdana" w:hAnsi="Verdana"/>
          <w:color w:val="auto"/>
          <w:sz w:val="20"/>
          <w:szCs w:val="20"/>
        </w:rPr>
        <w:instrText xml:space="preserve"> SEQ Table \* ARABIC </w:instrText>
      </w:r>
      <w:r w:rsidRPr="00042F16">
        <w:rPr>
          <w:rFonts w:ascii="Verdana" w:hAnsi="Verdana"/>
          <w:color w:val="auto"/>
          <w:sz w:val="20"/>
          <w:szCs w:val="20"/>
        </w:rPr>
        <w:fldChar w:fldCharType="separate"/>
      </w:r>
      <w:r w:rsidR="00E7065A" w:rsidRPr="00042F16">
        <w:rPr>
          <w:rFonts w:ascii="Verdana" w:hAnsi="Verdana"/>
          <w:noProof/>
          <w:color w:val="auto"/>
          <w:sz w:val="20"/>
          <w:szCs w:val="20"/>
        </w:rPr>
        <w:t>1</w:t>
      </w:r>
      <w:r w:rsidRPr="00042F16">
        <w:rPr>
          <w:rFonts w:ascii="Verdana" w:hAnsi="Verdana"/>
          <w:color w:val="auto"/>
          <w:sz w:val="20"/>
          <w:szCs w:val="20"/>
        </w:rPr>
        <w:fldChar w:fldCharType="end"/>
      </w:r>
      <w:r w:rsidR="00BF69DA" w:rsidRPr="00042F16">
        <w:rPr>
          <w:rFonts w:ascii="Verdana" w:hAnsi="Verdana"/>
          <w:color w:val="auto"/>
          <w:sz w:val="20"/>
          <w:szCs w:val="20"/>
        </w:rPr>
        <w:t>: N</w:t>
      </w:r>
      <w:r w:rsidRPr="00042F16">
        <w:rPr>
          <w:rFonts w:ascii="Verdana" w:hAnsi="Verdana"/>
          <w:color w:val="auto"/>
          <w:sz w:val="20"/>
          <w:szCs w:val="20"/>
        </w:rPr>
        <w:t>umber of directorships held by members of the management</w:t>
      </w:r>
      <w:bookmarkEnd w:id="11"/>
    </w:p>
    <w:tbl>
      <w:tblPr>
        <w:tblStyle w:val="TableGrid"/>
        <w:tblW w:w="5000" w:type="pct"/>
        <w:tblLook w:val="04A0" w:firstRow="1" w:lastRow="0" w:firstColumn="1" w:lastColumn="0" w:noHBand="0" w:noVBand="1"/>
      </w:tblPr>
      <w:tblGrid>
        <w:gridCol w:w="4666"/>
        <w:gridCol w:w="4799"/>
      </w:tblGrid>
      <w:tr w:rsidR="00883CEA" w:rsidRPr="00042F16" w14:paraId="2FA9B46A" w14:textId="77777777" w:rsidTr="00563B2C">
        <w:tc>
          <w:tcPr>
            <w:tcW w:w="2465" w:type="pct"/>
            <w:shd w:val="clear" w:color="auto" w:fill="6CACE4"/>
            <w:vAlign w:val="center"/>
          </w:tcPr>
          <w:p w14:paraId="0E325228" w14:textId="77777777" w:rsidR="00FD5EA0" w:rsidRPr="00042F16" w:rsidRDefault="00FD5EA0" w:rsidP="00042F16">
            <w:pPr>
              <w:jc w:val="center"/>
              <w:rPr>
                <w:rFonts w:ascii="Verdana" w:hAnsi="Verdana"/>
                <w:b/>
                <w:color w:val="FFFFFF" w:themeColor="background1"/>
                <w:sz w:val="20"/>
                <w:szCs w:val="20"/>
              </w:rPr>
            </w:pPr>
            <w:r w:rsidRPr="00042F16">
              <w:rPr>
                <w:rFonts w:ascii="Verdana" w:hAnsi="Verdana"/>
                <w:b/>
                <w:color w:val="FFFFFF" w:themeColor="background1"/>
                <w:sz w:val="20"/>
                <w:szCs w:val="20"/>
              </w:rPr>
              <w:t>Board member</w:t>
            </w:r>
          </w:p>
        </w:tc>
        <w:tc>
          <w:tcPr>
            <w:tcW w:w="2535" w:type="pct"/>
            <w:shd w:val="clear" w:color="auto" w:fill="6CACE4"/>
            <w:vAlign w:val="center"/>
          </w:tcPr>
          <w:p w14:paraId="3B8670FF" w14:textId="77777777" w:rsidR="00FD5EA0" w:rsidRPr="00042F16" w:rsidRDefault="00FD5EA0" w:rsidP="00042F16">
            <w:pPr>
              <w:jc w:val="center"/>
              <w:rPr>
                <w:rFonts w:ascii="Verdana" w:hAnsi="Verdana"/>
                <w:b/>
                <w:color w:val="FFFFFF" w:themeColor="background1"/>
                <w:sz w:val="20"/>
                <w:szCs w:val="20"/>
              </w:rPr>
            </w:pPr>
            <w:r w:rsidRPr="00042F16">
              <w:rPr>
                <w:rFonts w:ascii="Verdana" w:hAnsi="Verdana"/>
                <w:b/>
                <w:color w:val="FFFFFF" w:themeColor="background1"/>
                <w:sz w:val="20"/>
                <w:szCs w:val="20"/>
              </w:rPr>
              <w:t>Number of directorships held (including intragroup directorships)</w:t>
            </w:r>
          </w:p>
        </w:tc>
      </w:tr>
      <w:tr w:rsidR="00FD5EA0" w:rsidRPr="00042F16" w14:paraId="2C6CDD57" w14:textId="77777777" w:rsidTr="007E7755">
        <w:tc>
          <w:tcPr>
            <w:tcW w:w="2465" w:type="pct"/>
          </w:tcPr>
          <w:p w14:paraId="1C7B0ED1" w14:textId="62372D65" w:rsidR="00FD5EA0" w:rsidRPr="00042F16" w:rsidRDefault="00222CAA" w:rsidP="00042F16">
            <w:pPr>
              <w:rPr>
                <w:rFonts w:ascii="Verdana" w:hAnsi="Verdana"/>
                <w:sz w:val="20"/>
                <w:szCs w:val="20"/>
              </w:rPr>
            </w:pPr>
            <w:r w:rsidRPr="00042F16">
              <w:rPr>
                <w:rFonts w:ascii="Verdana" w:hAnsi="Verdana"/>
                <w:sz w:val="20"/>
                <w:szCs w:val="20"/>
              </w:rPr>
              <w:t xml:space="preserve">Michel </w:t>
            </w:r>
            <w:proofErr w:type="spellStart"/>
            <w:r w:rsidRPr="00042F16">
              <w:rPr>
                <w:rFonts w:ascii="Verdana" w:hAnsi="Verdana"/>
                <w:sz w:val="20"/>
                <w:szCs w:val="20"/>
              </w:rPr>
              <w:t>Tilmant</w:t>
            </w:r>
            <w:proofErr w:type="spellEnd"/>
            <w:r w:rsidR="00660225" w:rsidRPr="00042F16">
              <w:rPr>
                <w:rFonts w:ascii="Verdana" w:hAnsi="Verdana"/>
                <w:sz w:val="20"/>
                <w:szCs w:val="20"/>
              </w:rPr>
              <w:t xml:space="preserve"> (Chairman)</w:t>
            </w:r>
          </w:p>
        </w:tc>
        <w:tc>
          <w:tcPr>
            <w:tcW w:w="2535" w:type="pct"/>
          </w:tcPr>
          <w:p w14:paraId="37F42644" w14:textId="6E625D8A" w:rsidR="00FD5EA0" w:rsidRPr="00042F16" w:rsidRDefault="00810845" w:rsidP="00042F16">
            <w:pPr>
              <w:jc w:val="center"/>
              <w:rPr>
                <w:rFonts w:ascii="Verdana" w:hAnsi="Verdana"/>
                <w:sz w:val="20"/>
                <w:szCs w:val="20"/>
              </w:rPr>
            </w:pPr>
            <w:r>
              <w:rPr>
                <w:rFonts w:ascii="Verdana" w:hAnsi="Verdana"/>
                <w:sz w:val="20"/>
                <w:szCs w:val="20"/>
              </w:rPr>
              <w:t>10</w:t>
            </w:r>
          </w:p>
        </w:tc>
      </w:tr>
      <w:tr w:rsidR="00FD5EA0" w:rsidRPr="00042F16" w14:paraId="0F1F1B4C" w14:textId="77777777" w:rsidTr="007E7755">
        <w:tc>
          <w:tcPr>
            <w:tcW w:w="2465" w:type="pct"/>
          </w:tcPr>
          <w:p w14:paraId="677415E4" w14:textId="649CF502" w:rsidR="00FD5EA0" w:rsidRPr="00042F16" w:rsidRDefault="00222CAA" w:rsidP="00042F16">
            <w:pPr>
              <w:rPr>
                <w:rFonts w:ascii="Verdana" w:hAnsi="Verdana"/>
                <w:sz w:val="20"/>
                <w:szCs w:val="20"/>
              </w:rPr>
            </w:pPr>
            <w:r w:rsidRPr="00042F16">
              <w:rPr>
                <w:rFonts w:ascii="Verdana" w:hAnsi="Verdana"/>
                <w:sz w:val="20"/>
                <w:szCs w:val="20"/>
              </w:rPr>
              <w:t xml:space="preserve">François </w:t>
            </w:r>
            <w:proofErr w:type="spellStart"/>
            <w:r w:rsidRPr="00042F16">
              <w:rPr>
                <w:rFonts w:ascii="Verdana" w:hAnsi="Verdana"/>
                <w:sz w:val="20"/>
                <w:szCs w:val="20"/>
              </w:rPr>
              <w:t>Tesch</w:t>
            </w:r>
            <w:proofErr w:type="spellEnd"/>
          </w:p>
        </w:tc>
        <w:tc>
          <w:tcPr>
            <w:tcW w:w="2535" w:type="pct"/>
          </w:tcPr>
          <w:p w14:paraId="6B78AA03" w14:textId="1F8198DC" w:rsidR="00FD5EA0" w:rsidRPr="00042F16" w:rsidRDefault="00810845" w:rsidP="00042F16">
            <w:pPr>
              <w:jc w:val="center"/>
              <w:rPr>
                <w:rFonts w:ascii="Verdana" w:hAnsi="Verdana"/>
                <w:sz w:val="20"/>
                <w:szCs w:val="20"/>
              </w:rPr>
            </w:pPr>
            <w:r>
              <w:rPr>
                <w:rFonts w:ascii="Verdana" w:hAnsi="Verdana"/>
                <w:sz w:val="20"/>
                <w:szCs w:val="20"/>
              </w:rPr>
              <w:t>8</w:t>
            </w:r>
          </w:p>
        </w:tc>
      </w:tr>
      <w:tr w:rsidR="00FD5EA0" w:rsidRPr="00042F16" w14:paraId="7BCC27B4" w14:textId="77777777" w:rsidTr="007E7755">
        <w:tc>
          <w:tcPr>
            <w:tcW w:w="2465" w:type="pct"/>
          </w:tcPr>
          <w:p w14:paraId="3766DCCB" w14:textId="2F55377D" w:rsidR="00FD5EA0" w:rsidRPr="00042F16" w:rsidRDefault="00222CAA" w:rsidP="00042F16">
            <w:pPr>
              <w:rPr>
                <w:rFonts w:ascii="Verdana" w:hAnsi="Verdana"/>
                <w:sz w:val="20"/>
                <w:szCs w:val="20"/>
              </w:rPr>
            </w:pPr>
            <w:r w:rsidRPr="00042F16">
              <w:rPr>
                <w:rFonts w:ascii="Verdana" w:hAnsi="Verdana"/>
                <w:sz w:val="20"/>
                <w:szCs w:val="20"/>
              </w:rPr>
              <w:t xml:space="preserve">Maarten </w:t>
            </w:r>
            <w:proofErr w:type="spellStart"/>
            <w:r w:rsidRPr="00042F16">
              <w:rPr>
                <w:rFonts w:ascii="Verdana" w:hAnsi="Verdana"/>
                <w:sz w:val="20"/>
                <w:szCs w:val="20"/>
              </w:rPr>
              <w:t>Rooijakkers</w:t>
            </w:r>
            <w:proofErr w:type="spellEnd"/>
            <w:r w:rsidRPr="00042F16" w:rsidDel="00222CAA">
              <w:rPr>
                <w:rFonts w:ascii="Verdana" w:hAnsi="Verdana"/>
                <w:sz w:val="20"/>
                <w:szCs w:val="20"/>
              </w:rPr>
              <w:t xml:space="preserve"> </w:t>
            </w:r>
          </w:p>
        </w:tc>
        <w:tc>
          <w:tcPr>
            <w:tcW w:w="2535" w:type="pct"/>
          </w:tcPr>
          <w:p w14:paraId="00313BB4" w14:textId="14B72A19" w:rsidR="00FD5EA0" w:rsidRPr="00042F16" w:rsidRDefault="00810845" w:rsidP="00042F16">
            <w:pPr>
              <w:jc w:val="center"/>
              <w:rPr>
                <w:rFonts w:ascii="Verdana" w:hAnsi="Verdana"/>
                <w:sz w:val="20"/>
                <w:szCs w:val="20"/>
              </w:rPr>
            </w:pPr>
            <w:r>
              <w:rPr>
                <w:rFonts w:ascii="Verdana" w:hAnsi="Verdana"/>
                <w:sz w:val="20"/>
                <w:szCs w:val="20"/>
              </w:rPr>
              <w:t>5</w:t>
            </w:r>
          </w:p>
        </w:tc>
      </w:tr>
      <w:tr w:rsidR="00FD5EA0" w:rsidRPr="00042F16" w14:paraId="222A9E25" w14:textId="77777777" w:rsidTr="007E7755">
        <w:tc>
          <w:tcPr>
            <w:tcW w:w="2465" w:type="pct"/>
          </w:tcPr>
          <w:p w14:paraId="621C10E3" w14:textId="3E11C863" w:rsidR="00FD5EA0" w:rsidRPr="00042F16" w:rsidRDefault="00660225" w:rsidP="00042F16">
            <w:pPr>
              <w:rPr>
                <w:rFonts w:ascii="Verdana" w:hAnsi="Verdana"/>
                <w:sz w:val="20"/>
                <w:szCs w:val="20"/>
              </w:rPr>
            </w:pPr>
            <w:r w:rsidRPr="00042F16">
              <w:rPr>
                <w:rFonts w:ascii="Verdana" w:hAnsi="Verdana"/>
                <w:sz w:val="20"/>
                <w:szCs w:val="20"/>
              </w:rPr>
              <w:t xml:space="preserve">Claude </w:t>
            </w:r>
            <w:proofErr w:type="spellStart"/>
            <w:r w:rsidRPr="00042F16">
              <w:rPr>
                <w:rFonts w:ascii="Verdana" w:hAnsi="Verdana"/>
                <w:sz w:val="20"/>
                <w:szCs w:val="20"/>
              </w:rPr>
              <w:t>Eyschen</w:t>
            </w:r>
            <w:proofErr w:type="spellEnd"/>
          </w:p>
        </w:tc>
        <w:tc>
          <w:tcPr>
            <w:tcW w:w="2535" w:type="pct"/>
          </w:tcPr>
          <w:p w14:paraId="69C0BD4A" w14:textId="3896D88E" w:rsidR="00FD5EA0" w:rsidRPr="00042F16" w:rsidRDefault="00810845" w:rsidP="00042F16">
            <w:pPr>
              <w:jc w:val="center"/>
              <w:rPr>
                <w:rFonts w:ascii="Verdana" w:hAnsi="Verdana"/>
                <w:sz w:val="20"/>
                <w:szCs w:val="20"/>
              </w:rPr>
            </w:pPr>
            <w:r>
              <w:rPr>
                <w:rFonts w:ascii="Verdana" w:hAnsi="Verdana"/>
                <w:sz w:val="20"/>
                <w:szCs w:val="20"/>
              </w:rPr>
              <w:t>2</w:t>
            </w:r>
          </w:p>
        </w:tc>
      </w:tr>
      <w:tr w:rsidR="00FD5EA0" w:rsidRPr="00042F16" w14:paraId="6B2C402D" w14:textId="77777777" w:rsidTr="007E7755">
        <w:tc>
          <w:tcPr>
            <w:tcW w:w="2465" w:type="pct"/>
          </w:tcPr>
          <w:p w14:paraId="5801B83F" w14:textId="78237C6A" w:rsidR="00FD5EA0" w:rsidRPr="00042F16" w:rsidRDefault="00222CAA" w:rsidP="00042F16">
            <w:pPr>
              <w:rPr>
                <w:rFonts w:ascii="Verdana" w:hAnsi="Verdana"/>
                <w:sz w:val="20"/>
                <w:szCs w:val="20"/>
              </w:rPr>
            </w:pPr>
            <w:r w:rsidRPr="00042F16">
              <w:rPr>
                <w:rFonts w:ascii="Verdana" w:hAnsi="Verdana"/>
                <w:sz w:val="20"/>
                <w:szCs w:val="20"/>
              </w:rPr>
              <w:t>Marc Lauer</w:t>
            </w:r>
          </w:p>
        </w:tc>
        <w:tc>
          <w:tcPr>
            <w:tcW w:w="2535" w:type="pct"/>
          </w:tcPr>
          <w:p w14:paraId="55063BAD" w14:textId="7C8FCDE9" w:rsidR="00FD5EA0" w:rsidRPr="00042F16" w:rsidRDefault="00810845" w:rsidP="00042F16">
            <w:pPr>
              <w:jc w:val="center"/>
              <w:rPr>
                <w:rFonts w:ascii="Verdana" w:hAnsi="Verdana"/>
                <w:sz w:val="20"/>
                <w:szCs w:val="20"/>
              </w:rPr>
            </w:pPr>
            <w:r>
              <w:rPr>
                <w:rFonts w:ascii="Verdana" w:hAnsi="Verdana"/>
                <w:sz w:val="20"/>
                <w:szCs w:val="20"/>
              </w:rPr>
              <w:t>11</w:t>
            </w:r>
          </w:p>
        </w:tc>
      </w:tr>
      <w:tr w:rsidR="00660225" w:rsidRPr="00042F16" w14:paraId="609FBA9E" w14:textId="77777777" w:rsidTr="007E7755">
        <w:tc>
          <w:tcPr>
            <w:tcW w:w="2465" w:type="pct"/>
          </w:tcPr>
          <w:p w14:paraId="130C620F" w14:textId="47447D2E" w:rsidR="00660225" w:rsidRPr="00042F16" w:rsidDel="001F552E" w:rsidRDefault="00A246B5" w:rsidP="00042F16">
            <w:pPr>
              <w:rPr>
                <w:rFonts w:ascii="Verdana" w:hAnsi="Verdana"/>
                <w:sz w:val="20"/>
                <w:szCs w:val="20"/>
              </w:rPr>
            </w:pPr>
            <w:r w:rsidRPr="00042F16">
              <w:rPr>
                <w:rFonts w:ascii="Verdana" w:hAnsi="Verdana"/>
                <w:sz w:val="20"/>
                <w:szCs w:val="20"/>
              </w:rPr>
              <w:t xml:space="preserve">Jean-François </w:t>
            </w:r>
            <w:proofErr w:type="spellStart"/>
            <w:r w:rsidRPr="00042F16">
              <w:rPr>
                <w:rFonts w:ascii="Verdana" w:hAnsi="Verdana"/>
                <w:sz w:val="20"/>
                <w:szCs w:val="20"/>
              </w:rPr>
              <w:t>Schock</w:t>
            </w:r>
            <w:proofErr w:type="spellEnd"/>
          </w:p>
        </w:tc>
        <w:tc>
          <w:tcPr>
            <w:tcW w:w="2535" w:type="pct"/>
          </w:tcPr>
          <w:p w14:paraId="5D1A9A56" w14:textId="074BBF12" w:rsidR="00660225" w:rsidRPr="00042F16" w:rsidRDefault="00083346" w:rsidP="00042F16">
            <w:pPr>
              <w:jc w:val="center"/>
              <w:rPr>
                <w:rFonts w:ascii="Verdana" w:hAnsi="Verdana"/>
                <w:sz w:val="20"/>
                <w:szCs w:val="20"/>
              </w:rPr>
            </w:pPr>
            <w:r w:rsidRPr="00042F16">
              <w:rPr>
                <w:rFonts w:ascii="Verdana" w:hAnsi="Verdana"/>
                <w:sz w:val="20"/>
                <w:szCs w:val="20"/>
              </w:rPr>
              <w:t>6</w:t>
            </w:r>
          </w:p>
        </w:tc>
      </w:tr>
      <w:tr w:rsidR="00660225" w:rsidRPr="00042F16" w14:paraId="12111B95" w14:textId="77777777" w:rsidTr="007E7755">
        <w:tc>
          <w:tcPr>
            <w:tcW w:w="2465" w:type="pct"/>
          </w:tcPr>
          <w:p w14:paraId="4F038B3D" w14:textId="2640CD07" w:rsidR="00660225" w:rsidRPr="00042F16" w:rsidRDefault="00A246B5" w:rsidP="00042F16">
            <w:pPr>
              <w:rPr>
                <w:rFonts w:ascii="Verdana" w:hAnsi="Verdana"/>
                <w:sz w:val="20"/>
                <w:szCs w:val="20"/>
              </w:rPr>
            </w:pPr>
            <w:r w:rsidRPr="00042F16">
              <w:rPr>
                <w:rFonts w:ascii="Verdana" w:hAnsi="Verdana"/>
                <w:sz w:val="20"/>
                <w:szCs w:val="20"/>
              </w:rPr>
              <w:t xml:space="preserve">Philippe Van de </w:t>
            </w:r>
            <w:proofErr w:type="spellStart"/>
            <w:r w:rsidRPr="00042F16">
              <w:rPr>
                <w:rFonts w:ascii="Verdana" w:hAnsi="Verdana"/>
                <w:sz w:val="20"/>
                <w:szCs w:val="20"/>
              </w:rPr>
              <w:t>Vyvere</w:t>
            </w:r>
            <w:proofErr w:type="spellEnd"/>
          </w:p>
        </w:tc>
        <w:tc>
          <w:tcPr>
            <w:tcW w:w="2535" w:type="pct"/>
          </w:tcPr>
          <w:p w14:paraId="56017C79" w14:textId="7FEDBF6C" w:rsidR="00660225" w:rsidRPr="00042F16" w:rsidRDefault="00083346" w:rsidP="00042F16">
            <w:pPr>
              <w:jc w:val="center"/>
              <w:rPr>
                <w:rFonts w:ascii="Verdana" w:hAnsi="Verdana"/>
                <w:sz w:val="20"/>
                <w:szCs w:val="20"/>
              </w:rPr>
            </w:pPr>
            <w:r w:rsidRPr="00042F16">
              <w:rPr>
                <w:rFonts w:ascii="Verdana" w:hAnsi="Verdana"/>
                <w:sz w:val="20"/>
                <w:szCs w:val="20"/>
              </w:rPr>
              <w:t>43</w:t>
            </w:r>
          </w:p>
        </w:tc>
      </w:tr>
      <w:tr w:rsidR="00660225" w:rsidRPr="00042F16" w14:paraId="48230258" w14:textId="77777777" w:rsidTr="007E7755">
        <w:tc>
          <w:tcPr>
            <w:tcW w:w="2465" w:type="pct"/>
          </w:tcPr>
          <w:p w14:paraId="31D69590" w14:textId="4FF981A1" w:rsidR="00660225" w:rsidRPr="00042F16" w:rsidRDefault="00A246B5" w:rsidP="00042F16">
            <w:pPr>
              <w:rPr>
                <w:rFonts w:ascii="Verdana" w:hAnsi="Verdana"/>
                <w:sz w:val="20"/>
                <w:szCs w:val="20"/>
              </w:rPr>
            </w:pPr>
            <w:r w:rsidRPr="00042F16">
              <w:rPr>
                <w:rFonts w:ascii="Verdana" w:hAnsi="Verdana"/>
                <w:sz w:val="20"/>
                <w:szCs w:val="20"/>
              </w:rPr>
              <w:t xml:space="preserve">Roland </w:t>
            </w:r>
            <w:proofErr w:type="spellStart"/>
            <w:r w:rsidRPr="00042F16">
              <w:rPr>
                <w:rFonts w:ascii="Verdana" w:hAnsi="Verdana"/>
                <w:sz w:val="20"/>
                <w:szCs w:val="20"/>
              </w:rPr>
              <w:t>Gillet</w:t>
            </w:r>
            <w:proofErr w:type="spellEnd"/>
          </w:p>
        </w:tc>
        <w:tc>
          <w:tcPr>
            <w:tcW w:w="2535" w:type="pct"/>
          </w:tcPr>
          <w:p w14:paraId="1034796D" w14:textId="5ED580AD" w:rsidR="00660225" w:rsidRPr="00042F16" w:rsidRDefault="00083346" w:rsidP="00042F16">
            <w:pPr>
              <w:jc w:val="center"/>
              <w:rPr>
                <w:rFonts w:ascii="Verdana" w:hAnsi="Verdana"/>
                <w:sz w:val="20"/>
                <w:szCs w:val="20"/>
              </w:rPr>
            </w:pPr>
            <w:r w:rsidRPr="00042F16">
              <w:rPr>
                <w:rFonts w:ascii="Verdana" w:hAnsi="Verdana"/>
                <w:sz w:val="20"/>
                <w:szCs w:val="20"/>
              </w:rPr>
              <w:t>3</w:t>
            </w:r>
          </w:p>
        </w:tc>
      </w:tr>
      <w:tr w:rsidR="00660225" w:rsidRPr="00042F16" w14:paraId="0745D977" w14:textId="77777777" w:rsidTr="007E7755">
        <w:tc>
          <w:tcPr>
            <w:tcW w:w="2465" w:type="pct"/>
          </w:tcPr>
          <w:p w14:paraId="690E37D0" w14:textId="34EC8A7D" w:rsidR="00660225" w:rsidRPr="00042F16" w:rsidRDefault="00A246B5" w:rsidP="00042F16">
            <w:pPr>
              <w:rPr>
                <w:rFonts w:ascii="Verdana" w:hAnsi="Verdana"/>
                <w:sz w:val="20"/>
                <w:szCs w:val="20"/>
              </w:rPr>
            </w:pPr>
            <w:r w:rsidRPr="00042F16">
              <w:rPr>
                <w:rFonts w:ascii="Verdana" w:hAnsi="Verdana"/>
                <w:sz w:val="20"/>
                <w:szCs w:val="20"/>
              </w:rPr>
              <w:t>Roland Kuhn</w:t>
            </w:r>
          </w:p>
        </w:tc>
        <w:tc>
          <w:tcPr>
            <w:tcW w:w="2535" w:type="pct"/>
          </w:tcPr>
          <w:p w14:paraId="618004D2" w14:textId="02F1293D" w:rsidR="00660225" w:rsidRPr="00042F16" w:rsidRDefault="00810845" w:rsidP="00042F16">
            <w:pPr>
              <w:jc w:val="center"/>
              <w:rPr>
                <w:rFonts w:ascii="Verdana" w:hAnsi="Verdana"/>
                <w:sz w:val="20"/>
                <w:szCs w:val="20"/>
              </w:rPr>
            </w:pPr>
            <w:r>
              <w:rPr>
                <w:rFonts w:ascii="Verdana" w:hAnsi="Verdana"/>
                <w:sz w:val="20"/>
                <w:szCs w:val="20"/>
              </w:rPr>
              <w:t>30</w:t>
            </w:r>
          </w:p>
        </w:tc>
      </w:tr>
      <w:tr w:rsidR="00810845" w:rsidRPr="00042F16" w14:paraId="53A940C9" w14:textId="77777777" w:rsidTr="007E7755">
        <w:tc>
          <w:tcPr>
            <w:tcW w:w="2465" w:type="pct"/>
          </w:tcPr>
          <w:p w14:paraId="6B4571BA" w14:textId="1F274D77" w:rsidR="00810845" w:rsidRPr="00042F16" w:rsidRDefault="00810845" w:rsidP="00042F16">
            <w:pPr>
              <w:rPr>
                <w:rFonts w:ascii="Verdana" w:hAnsi="Verdana"/>
                <w:sz w:val="20"/>
                <w:szCs w:val="20"/>
              </w:rPr>
            </w:pPr>
            <w:r>
              <w:rPr>
                <w:rFonts w:ascii="Verdana" w:hAnsi="Verdana"/>
                <w:sz w:val="20"/>
                <w:szCs w:val="20"/>
              </w:rPr>
              <w:t xml:space="preserve">Nathalie </w:t>
            </w:r>
            <w:proofErr w:type="spellStart"/>
            <w:r>
              <w:rPr>
                <w:rFonts w:ascii="Verdana" w:hAnsi="Verdana"/>
                <w:sz w:val="20"/>
                <w:szCs w:val="20"/>
              </w:rPr>
              <w:t>Worré</w:t>
            </w:r>
            <w:proofErr w:type="spellEnd"/>
          </w:p>
        </w:tc>
        <w:tc>
          <w:tcPr>
            <w:tcW w:w="2535" w:type="pct"/>
          </w:tcPr>
          <w:p w14:paraId="6228D611" w14:textId="78C7CDA4" w:rsidR="00810845" w:rsidRPr="00042F16" w:rsidRDefault="00810845" w:rsidP="00042F16">
            <w:pPr>
              <w:jc w:val="center"/>
              <w:rPr>
                <w:rFonts w:ascii="Verdana" w:hAnsi="Verdana"/>
                <w:sz w:val="20"/>
                <w:szCs w:val="20"/>
              </w:rPr>
            </w:pPr>
            <w:r>
              <w:rPr>
                <w:rFonts w:ascii="Verdana" w:hAnsi="Verdana"/>
                <w:sz w:val="20"/>
                <w:szCs w:val="20"/>
              </w:rPr>
              <w:t>3</w:t>
            </w:r>
          </w:p>
        </w:tc>
      </w:tr>
    </w:tbl>
    <w:p w14:paraId="4CAF03B6" w14:textId="12B29DE6" w:rsidR="00660225" w:rsidRPr="00042F16" w:rsidRDefault="00660225" w:rsidP="00042F16">
      <w:pPr>
        <w:spacing w:after="0" w:line="240" w:lineRule="auto"/>
        <w:rPr>
          <w:rFonts w:ascii="Verdana" w:hAnsi="Verdana"/>
          <w:sz w:val="20"/>
          <w:szCs w:val="20"/>
        </w:rPr>
      </w:pPr>
    </w:p>
    <w:p w14:paraId="630BB7ED" w14:textId="77777777" w:rsidR="00F71FFD" w:rsidRDefault="00F71FFD" w:rsidP="00042F16">
      <w:pPr>
        <w:spacing w:after="0" w:line="240" w:lineRule="auto"/>
        <w:rPr>
          <w:rFonts w:ascii="Verdana" w:hAnsi="Verdana"/>
          <w:sz w:val="20"/>
          <w:szCs w:val="20"/>
        </w:rPr>
      </w:pPr>
    </w:p>
    <w:p w14:paraId="7A4E6378" w14:textId="77777777" w:rsidR="00563B2C" w:rsidRDefault="00563B2C" w:rsidP="00042F16">
      <w:pPr>
        <w:spacing w:after="0" w:line="240" w:lineRule="auto"/>
        <w:rPr>
          <w:rFonts w:ascii="Verdana" w:hAnsi="Verdana"/>
          <w:sz w:val="20"/>
          <w:szCs w:val="20"/>
        </w:rPr>
      </w:pPr>
    </w:p>
    <w:p w14:paraId="0D1CB773" w14:textId="3E175C68" w:rsidR="00AF1D2D" w:rsidRPr="00042F16" w:rsidRDefault="00AF1D2D" w:rsidP="00042F16">
      <w:pPr>
        <w:pStyle w:val="Subtitle"/>
        <w:spacing w:after="0"/>
        <w:rPr>
          <w:rFonts w:ascii="Verdana" w:hAnsi="Verdana" w:cstheme="minorHAnsi"/>
          <w:sz w:val="20"/>
          <w:szCs w:val="20"/>
        </w:rPr>
      </w:pPr>
      <w:r w:rsidRPr="00042F16">
        <w:rPr>
          <w:rFonts w:ascii="Verdana" w:hAnsi="Verdana" w:cstheme="minorHAnsi"/>
          <w:sz w:val="20"/>
          <w:szCs w:val="20"/>
        </w:rPr>
        <w:lastRenderedPageBreak/>
        <w:t>Executive Committee</w:t>
      </w:r>
      <w:r w:rsidR="00F735DA" w:rsidRPr="00042F16">
        <w:rPr>
          <w:rFonts w:ascii="Verdana" w:hAnsi="Verdana" w:cstheme="minorHAnsi"/>
          <w:sz w:val="20"/>
          <w:szCs w:val="20"/>
        </w:rPr>
        <w:t xml:space="preserve"> (EC)</w:t>
      </w:r>
    </w:p>
    <w:p w14:paraId="3820D6D8" w14:textId="77777777" w:rsidR="00042F16" w:rsidRDefault="00042F16" w:rsidP="00042F16">
      <w:pPr>
        <w:spacing w:after="0" w:line="240" w:lineRule="auto"/>
        <w:rPr>
          <w:rFonts w:ascii="Verdana" w:hAnsi="Verdana" w:cstheme="minorHAnsi"/>
          <w:sz w:val="20"/>
          <w:szCs w:val="20"/>
        </w:rPr>
      </w:pPr>
    </w:p>
    <w:p w14:paraId="21B66AA1" w14:textId="2A4C2A47" w:rsidR="00532CEE" w:rsidRPr="00042F16" w:rsidRDefault="00532CEE" w:rsidP="00042F16">
      <w:pPr>
        <w:spacing w:after="0" w:line="240" w:lineRule="auto"/>
        <w:rPr>
          <w:rFonts w:ascii="Verdana" w:hAnsi="Verdana" w:cstheme="minorHAnsi"/>
          <w:sz w:val="20"/>
          <w:szCs w:val="20"/>
        </w:rPr>
      </w:pPr>
      <w:r w:rsidRPr="00042F16">
        <w:rPr>
          <w:rFonts w:ascii="Verdana" w:hAnsi="Verdana" w:cstheme="minorHAnsi"/>
          <w:sz w:val="20"/>
          <w:szCs w:val="20"/>
        </w:rPr>
        <w:t>The E</w:t>
      </w:r>
      <w:r w:rsidR="00083346" w:rsidRPr="00042F16">
        <w:rPr>
          <w:rFonts w:ascii="Verdana" w:hAnsi="Verdana" w:cstheme="minorHAnsi"/>
          <w:sz w:val="20"/>
          <w:szCs w:val="20"/>
        </w:rPr>
        <w:t>C</w:t>
      </w:r>
      <w:r w:rsidRPr="00042F16">
        <w:rPr>
          <w:rFonts w:ascii="Verdana" w:hAnsi="Verdana" w:cstheme="minorHAnsi"/>
          <w:sz w:val="20"/>
          <w:szCs w:val="20"/>
        </w:rPr>
        <w:t xml:space="preserve"> is responsible for: </w:t>
      </w:r>
    </w:p>
    <w:p w14:paraId="6E2570A3" w14:textId="09792619" w:rsidR="00532CEE" w:rsidRPr="00042F16" w:rsidRDefault="00532CEE" w:rsidP="00042F16">
      <w:pPr>
        <w:pStyle w:val="ListParagraph"/>
        <w:numPr>
          <w:ilvl w:val="0"/>
          <w:numId w:val="4"/>
        </w:numPr>
        <w:spacing w:after="0" w:line="240" w:lineRule="auto"/>
        <w:rPr>
          <w:rFonts w:ascii="Verdana" w:hAnsi="Verdana" w:cstheme="minorHAnsi"/>
          <w:sz w:val="20"/>
          <w:szCs w:val="20"/>
        </w:rPr>
      </w:pPr>
      <w:r w:rsidRPr="00042F16">
        <w:rPr>
          <w:rFonts w:ascii="Verdana" w:hAnsi="Verdana" w:cstheme="minorHAnsi"/>
          <w:sz w:val="20"/>
          <w:szCs w:val="20"/>
        </w:rPr>
        <w:t xml:space="preserve">Documenting and communicating the </w:t>
      </w:r>
      <w:r w:rsidR="003858DC" w:rsidRPr="00042F16">
        <w:rPr>
          <w:rFonts w:ascii="Verdana" w:hAnsi="Verdana" w:cstheme="minorHAnsi"/>
          <w:sz w:val="20"/>
          <w:szCs w:val="20"/>
        </w:rPr>
        <w:t>g</w:t>
      </w:r>
      <w:r w:rsidRPr="00042F16">
        <w:rPr>
          <w:rFonts w:ascii="Verdana" w:hAnsi="Verdana" w:cstheme="minorHAnsi"/>
          <w:sz w:val="20"/>
          <w:szCs w:val="20"/>
        </w:rPr>
        <w:t xml:space="preserve">roup </w:t>
      </w:r>
      <w:r w:rsidR="003858DC" w:rsidRPr="00042F16">
        <w:rPr>
          <w:rFonts w:ascii="Verdana" w:hAnsi="Verdana" w:cstheme="minorHAnsi"/>
          <w:sz w:val="20"/>
          <w:szCs w:val="20"/>
        </w:rPr>
        <w:t>r</w:t>
      </w:r>
      <w:r w:rsidRPr="00042F16">
        <w:rPr>
          <w:rFonts w:ascii="Verdana" w:hAnsi="Verdana" w:cstheme="minorHAnsi"/>
          <w:sz w:val="20"/>
          <w:szCs w:val="20"/>
        </w:rPr>
        <w:t xml:space="preserve">isk </w:t>
      </w:r>
      <w:r w:rsidR="003858DC" w:rsidRPr="00042F16">
        <w:rPr>
          <w:rFonts w:ascii="Verdana" w:hAnsi="Verdana" w:cstheme="minorHAnsi"/>
          <w:sz w:val="20"/>
          <w:szCs w:val="20"/>
        </w:rPr>
        <w:t>m</w:t>
      </w:r>
      <w:r w:rsidRPr="00042F16">
        <w:rPr>
          <w:rFonts w:ascii="Verdana" w:hAnsi="Verdana" w:cstheme="minorHAnsi"/>
          <w:sz w:val="20"/>
          <w:szCs w:val="20"/>
        </w:rPr>
        <w:t>anagement policies (and the related capital planning principles)</w:t>
      </w:r>
      <w:r w:rsidR="003858DC" w:rsidRPr="00042F16">
        <w:rPr>
          <w:rFonts w:ascii="Verdana" w:hAnsi="Verdana" w:cstheme="minorHAnsi"/>
          <w:sz w:val="20"/>
          <w:szCs w:val="20"/>
        </w:rPr>
        <w:t>;</w:t>
      </w:r>
    </w:p>
    <w:p w14:paraId="2D5F085D" w14:textId="07B7552B" w:rsidR="00532CEE" w:rsidRPr="00042F16" w:rsidRDefault="00FB085D" w:rsidP="00042F16">
      <w:pPr>
        <w:pStyle w:val="ListParagraph"/>
        <w:numPr>
          <w:ilvl w:val="0"/>
          <w:numId w:val="4"/>
        </w:numPr>
        <w:spacing w:after="0" w:line="240" w:lineRule="auto"/>
        <w:rPr>
          <w:rFonts w:ascii="Verdana" w:hAnsi="Verdana" w:cstheme="minorHAnsi"/>
          <w:sz w:val="20"/>
          <w:szCs w:val="20"/>
        </w:rPr>
      </w:pPr>
      <w:r w:rsidRPr="00042F16">
        <w:rPr>
          <w:rFonts w:ascii="Verdana" w:hAnsi="Verdana" w:cstheme="minorHAnsi"/>
          <w:sz w:val="20"/>
          <w:szCs w:val="20"/>
        </w:rPr>
        <w:t>Annual approval of</w:t>
      </w:r>
      <w:r w:rsidR="00532CEE" w:rsidRPr="00042F16">
        <w:rPr>
          <w:rFonts w:ascii="Verdana" w:hAnsi="Verdana" w:cstheme="minorHAnsi"/>
          <w:sz w:val="20"/>
          <w:szCs w:val="20"/>
        </w:rPr>
        <w:t xml:space="preserve"> the Risk Management framework </w:t>
      </w:r>
      <w:r w:rsidR="003858DC" w:rsidRPr="00042F16">
        <w:rPr>
          <w:rFonts w:ascii="Verdana" w:hAnsi="Verdana" w:cstheme="minorHAnsi"/>
          <w:sz w:val="20"/>
          <w:szCs w:val="20"/>
        </w:rPr>
        <w:t xml:space="preserve">(as defined below) </w:t>
      </w:r>
      <w:r w:rsidRPr="00042F16">
        <w:rPr>
          <w:rFonts w:ascii="Verdana" w:hAnsi="Verdana" w:cstheme="minorHAnsi"/>
          <w:sz w:val="20"/>
          <w:szCs w:val="20"/>
        </w:rPr>
        <w:t>based on the</w:t>
      </w:r>
      <w:r w:rsidR="00532CEE" w:rsidRPr="00042F16">
        <w:rPr>
          <w:rFonts w:ascii="Verdana" w:hAnsi="Verdana" w:cstheme="minorHAnsi"/>
          <w:sz w:val="20"/>
          <w:szCs w:val="20"/>
        </w:rPr>
        <w:t xml:space="preserve"> reporting by the Risk Management department</w:t>
      </w:r>
      <w:r w:rsidR="003858DC" w:rsidRPr="00042F16">
        <w:rPr>
          <w:rFonts w:ascii="Verdana" w:hAnsi="Verdana" w:cstheme="minorHAnsi"/>
          <w:sz w:val="20"/>
          <w:szCs w:val="20"/>
        </w:rPr>
        <w:t>;</w:t>
      </w:r>
    </w:p>
    <w:p w14:paraId="31D0A809" w14:textId="1F4B130D" w:rsidR="00532CEE" w:rsidRPr="00042F16" w:rsidRDefault="00532CEE" w:rsidP="00042F16">
      <w:pPr>
        <w:pStyle w:val="ListParagraph"/>
        <w:numPr>
          <w:ilvl w:val="0"/>
          <w:numId w:val="4"/>
        </w:numPr>
        <w:spacing w:after="0" w:line="240" w:lineRule="auto"/>
        <w:rPr>
          <w:rFonts w:ascii="Verdana" w:hAnsi="Verdana" w:cstheme="minorHAnsi"/>
          <w:sz w:val="20"/>
          <w:szCs w:val="20"/>
        </w:rPr>
      </w:pPr>
      <w:r w:rsidRPr="00042F16">
        <w:rPr>
          <w:rFonts w:ascii="Verdana" w:hAnsi="Verdana" w:cstheme="minorHAnsi"/>
          <w:sz w:val="20"/>
          <w:szCs w:val="20"/>
        </w:rPr>
        <w:t>Ensuring adequate internal control systems are in place, with relevant segregation of duties, in order to prevent conflict of interest</w:t>
      </w:r>
      <w:r w:rsidR="003858DC" w:rsidRPr="00042F16">
        <w:rPr>
          <w:rFonts w:ascii="Verdana" w:hAnsi="Verdana" w:cstheme="minorHAnsi"/>
          <w:sz w:val="20"/>
          <w:szCs w:val="20"/>
        </w:rPr>
        <w:t>;</w:t>
      </w:r>
    </w:p>
    <w:p w14:paraId="2CCB295A" w14:textId="1E26AC66" w:rsidR="00532CEE" w:rsidRPr="00042F16" w:rsidRDefault="00532CEE" w:rsidP="00042F16">
      <w:pPr>
        <w:pStyle w:val="ListParagraph"/>
        <w:numPr>
          <w:ilvl w:val="0"/>
          <w:numId w:val="4"/>
        </w:numPr>
        <w:spacing w:after="0" w:line="240" w:lineRule="auto"/>
        <w:rPr>
          <w:rFonts w:ascii="Verdana" w:hAnsi="Verdana" w:cstheme="minorHAnsi"/>
          <w:sz w:val="20"/>
          <w:szCs w:val="20"/>
        </w:rPr>
      </w:pPr>
      <w:r w:rsidRPr="00042F16">
        <w:rPr>
          <w:rFonts w:ascii="Verdana" w:hAnsi="Verdana" w:cstheme="minorHAnsi"/>
          <w:sz w:val="20"/>
          <w:szCs w:val="20"/>
        </w:rPr>
        <w:t>Promoting high ethical and professional standards and a strong int</w:t>
      </w:r>
      <w:r w:rsidR="00161DB6" w:rsidRPr="00042F16">
        <w:rPr>
          <w:rFonts w:ascii="Verdana" w:hAnsi="Verdana" w:cstheme="minorHAnsi"/>
          <w:sz w:val="20"/>
          <w:szCs w:val="20"/>
        </w:rPr>
        <w:t>ernal control culture</w:t>
      </w:r>
      <w:r w:rsidR="003858DC" w:rsidRPr="00042F16">
        <w:rPr>
          <w:rFonts w:ascii="Verdana" w:hAnsi="Verdana" w:cstheme="minorHAnsi"/>
          <w:sz w:val="20"/>
          <w:szCs w:val="20"/>
        </w:rPr>
        <w:t>;</w:t>
      </w:r>
    </w:p>
    <w:p w14:paraId="08FE317F" w14:textId="03DF814D" w:rsidR="00532CEE" w:rsidRPr="00042F16" w:rsidRDefault="00532CEE" w:rsidP="00042F16">
      <w:pPr>
        <w:pStyle w:val="ListParagraph"/>
        <w:numPr>
          <w:ilvl w:val="0"/>
          <w:numId w:val="4"/>
        </w:numPr>
        <w:spacing w:after="0" w:line="240" w:lineRule="auto"/>
        <w:rPr>
          <w:rFonts w:ascii="Verdana" w:hAnsi="Verdana" w:cstheme="minorHAnsi"/>
          <w:sz w:val="20"/>
          <w:szCs w:val="20"/>
        </w:rPr>
      </w:pPr>
      <w:r w:rsidRPr="00042F16">
        <w:rPr>
          <w:rFonts w:ascii="Verdana" w:hAnsi="Verdana" w:cstheme="minorHAnsi"/>
          <w:sz w:val="20"/>
          <w:szCs w:val="20"/>
        </w:rPr>
        <w:t>Sett</w:t>
      </w:r>
      <w:r w:rsidR="00FB085D" w:rsidRPr="00042F16">
        <w:rPr>
          <w:rFonts w:ascii="Verdana" w:hAnsi="Verdana" w:cstheme="minorHAnsi"/>
          <w:sz w:val="20"/>
          <w:szCs w:val="20"/>
        </w:rPr>
        <w:t>ing acceptable levels of risks</w:t>
      </w:r>
      <w:r w:rsidRPr="00042F16">
        <w:rPr>
          <w:rFonts w:ascii="Verdana" w:hAnsi="Verdana" w:cstheme="minorHAnsi"/>
          <w:sz w:val="20"/>
          <w:szCs w:val="20"/>
        </w:rPr>
        <w:t xml:space="preserve"> and insuring that local </w:t>
      </w:r>
      <w:r w:rsidR="00FB085D" w:rsidRPr="00042F16">
        <w:rPr>
          <w:rFonts w:ascii="Verdana" w:hAnsi="Verdana" w:cstheme="minorHAnsi"/>
          <w:sz w:val="20"/>
          <w:szCs w:val="20"/>
        </w:rPr>
        <w:t>entities managers take the actions needed</w:t>
      </w:r>
      <w:r w:rsidRPr="00042F16">
        <w:rPr>
          <w:rFonts w:ascii="Verdana" w:hAnsi="Verdana" w:cstheme="minorHAnsi"/>
          <w:sz w:val="20"/>
          <w:szCs w:val="20"/>
        </w:rPr>
        <w:t xml:space="preserve"> to implement the Risk Management framework within entities</w:t>
      </w:r>
      <w:r w:rsidR="00FB085D" w:rsidRPr="00042F16">
        <w:rPr>
          <w:rFonts w:ascii="Verdana" w:hAnsi="Verdana" w:cstheme="minorHAnsi"/>
          <w:sz w:val="20"/>
          <w:szCs w:val="20"/>
        </w:rPr>
        <w:t>.</w:t>
      </w:r>
    </w:p>
    <w:p w14:paraId="1ABD99C6" w14:textId="033F2B68" w:rsidR="00AF1D2D" w:rsidRPr="00042F16" w:rsidRDefault="00532CEE" w:rsidP="00042F16">
      <w:pPr>
        <w:pStyle w:val="ListParagraph"/>
        <w:numPr>
          <w:ilvl w:val="0"/>
          <w:numId w:val="4"/>
        </w:numPr>
        <w:spacing w:after="0" w:line="240" w:lineRule="auto"/>
        <w:rPr>
          <w:rFonts w:ascii="Verdana" w:hAnsi="Verdana" w:cstheme="minorHAnsi"/>
          <w:sz w:val="20"/>
          <w:szCs w:val="20"/>
        </w:rPr>
      </w:pPr>
      <w:r w:rsidRPr="00042F16">
        <w:rPr>
          <w:rFonts w:ascii="Verdana" w:hAnsi="Verdana" w:cstheme="minorHAnsi"/>
          <w:sz w:val="20"/>
          <w:szCs w:val="20"/>
        </w:rPr>
        <w:t>Assigning adequate resources and funds to Risk Management</w:t>
      </w:r>
      <w:r w:rsidR="00FB085D" w:rsidRPr="00042F16">
        <w:rPr>
          <w:rFonts w:ascii="Verdana" w:hAnsi="Verdana" w:cstheme="minorHAnsi"/>
          <w:sz w:val="20"/>
          <w:szCs w:val="20"/>
        </w:rPr>
        <w:t>.</w:t>
      </w:r>
    </w:p>
    <w:p w14:paraId="7F482189" w14:textId="77777777" w:rsidR="00F71FFD" w:rsidRPr="00042F16" w:rsidRDefault="00F71FFD" w:rsidP="00042F16">
      <w:pPr>
        <w:pStyle w:val="Subtitle"/>
        <w:spacing w:after="0"/>
        <w:rPr>
          <w:rFonts w:ascii="Verdana" w:hAnsi="Verdana" w:cstheme="minorHAnsi"/>
          <w:sz w:val="20"/>
          <w:szCs w:val="20"/>
        </w:rPr>
      </w:pPr>
    </w:p>
    <w:p w14:paraId="1C2C5D30" w14:textId="3101C8C6" w:rsidR="00393FB2" w:rsidRPr="00042F16" w:rsidRDefault="00393FB2" w:rsidP="00042F16">
      <w:pPr>
        <w:pStyle w:val="Subtitle"/>
        <w:spacing w:after="0"/>
        <w:rPr>
          <w:rFonts w:ascii="Verdana" w:hAnsi="Verdana" w:cstheme="minorHAnsi"/>
          <w:sz w:val="20"/>
          <w:szCs w:val="20"/>
        </w:rPr>
      </w:pPr>
      <w:r w:rsidRPr="00042F16">
        <w:rPr>
          <w:rFonts w:ascii="Verdana" w:hAnsi="Verdana" w:cstheme="minorHAnsi"/>
          <w:sz w:val="20"/>
          <w:szCs w:val="20"/>
        </w:rPr>
        <w:t>Audit</w:t>
      </w:r>
      <w:r w:rsidR="00847DEA" w:rsidRPr="00042F16">
        <w:rPr>
          <w:rFonts w:ascii="Verdana" w:hAnsi="Verdana" w:cstheme="minorHAnsi"/>
          <w:sz w:val="20"/>
          <w:szCs w:val="20"/>
        </w:rPr>
        <w:t>, Compliance and Risk</w:t>
      </w:r>
      <w:r w:rsidR="00263F4B" w:rsidRPr="00042F16">
        <w:rPr>
          <w:rFonts w:ascii="Verdana" w:hAnsi="Verdana" w:cstheme="minorHAnsi"/>
          <w:sz w:val="20"/>
          <w:szCs w:val="20"/>
        </w:rPr>
        <w:t xml:space="preserve"> Committee</w:t>
      </w:r>
    </w:p>
    <w:p w14:paraId="1B3A17AF" w14:textId="77777777" w:rsidR="00042F16" w:rsidRDefault="00042F16" w:rsidP="00042F16">
      <w:pPr>
        <w:spacing w:after="0" w:line="240" w:lineRule="auto"/>
        <w:rPr>
          <w:rFonts w:ascii="Verdana" w:hAnsi="Verdana" w:cstheme="minorHAnsi"/>
          <w:sz w:val="20"/>
          <w:szCs w:val="20"/>
        </w:rPr>
      </w:pPr>
    </w:p>
    <w:p w14:paraId="3355A628" w14:textId="6F12A8C0" w:rsidR="00AB18E3" w:rsidRPr="00042F16" w:rsidRDefault="000661AB" w:rsidP="00042F16">
      <w:pPr>
        <w:spacing w:after="0" w:line="240" w:lineRule="auto"/>
        <w:rPr>
          <w:rFonts w:ascii="Verdana" w:hAnsi="Verdana" w:cstheme="minorHAnsi"/>
          <w:sz w:val="20"/>
          <w:szCs w:val="20"/>
        </w:rPr>
      </w:pPr>
      <w:r w:rsidRPr="00042F16">
        <w:rPr>
          <w:rFonts w:ascii="Verdana" w:hAnsi="Verdana" w:cstheme="minorHAnsi"/>
          <w:sz w:val="20"/>
          <w:szCs w:val="20"/>
        </w:rPr>
        <w:t>T</w:t>
      </w:r>
      <w:r w:rsidR="00263F4B" w:rsidRPr="00042F16">
        <w:rPr>
          <w:rFonts w:ascii="Verdana" w:hAnsi="Verdana" w:cstheme="minorHAnsi"/>
          <w:sz w:val="20"/>
          <w:szCs w:val="20"/>
        </w:rPr>
        <w:t xml:space="preserve">he </w:t>
      </w:r>
      <w:proofErr w:type="spellStart"/>
      <w:r w:rsidR="000C6BA5" w:rsidRPr="00042F16">
        <w:rPr>
          <w:rFonts w:ascii="Verdana" w:hAnsi="Verdana" w:cstheme="minorHAnsi"/>
          <w:sz w:val="20"/>
          <w:szCs w:val="20"/>
        </w:rPr>
        <w:t>BoD</w:t>
      </w:r>
      <w:proofErr w:type="spellEnd"/>
      <w:r w:rsidR="0036675E" w:rsidRPr="00042F16">
        <w:rPr>
          <w:rFonts w:ascii="Verdana" w:hAnsi="Verdana" w:cstheme="minorHAnsi"/>
          <w:sz w:val="20"/>
          <w:szCs w:val="20"/>
        </w:rPr>
        <w:t xml:space="preserve"> of </w:t>
      </w:r>
      <w:r w:rsidR="00DF0FC6" w:rsidRPr="00042F16">
        <w:rPr>
          <w:rFonts w:ascii="Verdana" w:hAnsi="Verdana" w:cstheme="minorHAnsi"/>
          <w:sz w:val="20"/>
          <w:szCs w:val="20"/>
        </w:rPr>
        <w:t>t</w:t>
      </w:r>
      <w:r w:rsidR="0036675E" w:rsidRPr="00042F16">
        <w:rPr>
          <w:rFonts w:ascii="Verdana" w:hAnsi="Verdana" w:cstheme="minorHAnsi"/>
          <w:sz w:val="20"/>
          <w:szCs w:val="20"/>
        </w:rPr>
        <w:t xml:space="preserve">he </w:t>
      </w:r>
      <w:r w:rsidR="00263F4B" w:rsidRPr="00042F16">
        <w:rPr>
          <w:rFonts w:ascii="Verdana" w:hAnsi="Verdana" w:cstheme="minorHAnsi"/>
          <w:sz w:val="20"/>
          <w:szCs w:val="20"/>
        </w:rPr>
        <w:t xml:space="preserve">Company </w:t>
      </w:r>
      <w:r w:rsidR="0036675E" w:rsidRPr="00042F16">
        <w:rPr>
          <w:rFonts w:ascii="Verdana" w:hAnsi="Verdana" w:cstheme="minorHAnsi"/>
          <w:sz w:val="20"/>
          <w:szCs w:val="20"/>
        </w:rPr>
        <w:t xml:space="preserve">is assisted by </w:t>
      </w:r>
      <w:r w:rsidRPr="00042F16">
        <w:rPr>
          <w:rFonts w:ascii="Verdana" w:hAnsi="Verdana" w:cstheme="minorHAnsi"/>
          <w:sz w:val="20"/>
          <w:szCs w:val="20"/>
        </w:rPr>
        <w:t xml:space="preserve">a </w:t>
      </w:r>
      <w:r w:rsidR="0036675E" w:rsidRPr="00042F16">
        <w:rPr>
          <w:rFonts w:ascii="Verdana" w:hAnsi="Verdana" w:cstheme="minorHAnsi"/>
          <w:sz w:val="20"/>
          <w:szCs w:val="20"/>
        </w:rPr>
        <w:t>specialised committee</w:t>
      </w:r>
      <w:r w:rsidRPr="00042F16">
        <w:rPr>
          <w:rFonts w:ascii="Verdana" w:hAnsi="Verdana" w:cstheme="minorHAnsi"/>
          <w:sz w:val="20"/>
          <w:szCs w:val="20"/>
        </w:rPr>
        <w:t xml:space="preserve">, </w:t>
      </w:r>
      <w:r w:rsidR="00263F4B" w:rsidRPr="00042F16">
        <w:rPr>
          <w:rFonts w:ascii="Verdana" w:hAnsi="Verdana" w:cstheme="minorHAnsi"/>
          <w:sz w:val="20"/>
          <w:szCs w:val="20"/>
        </w:rPr>
        <w:t>the Audit, Compliance and Risk Committee (“</w:t>
      </w:r>
      <w:r w:rsidR="00FB185F" w:rsidRPr="00042F16">
        <w:rPr>
          <w:rFonts w:ascii="Verdana" w:hAnsi="Verdana" w:cstheme="minorHAnsi"/>
          <w:sz w:val="20"/>
          <w:szCs w:val="20"/>
        </w:rPr>
        <w:t>CA</w:t>
      </w:r>
      <w:r w:rsidR="00083346" w:rsidRPr="00042F16">
        <w:rPr>
          <w:rFonts w:ascii="Verdana" w:hAnsi="Verdana" w:cstheme="minorHAnsi"/>
          <w:sz w:val="20"/>
          <w:szCs w:val="20"/>
        </w:rPr>
        <w:t>RC</w:t>
      </w:r>
      <w:r w:rsidR="00263F4B" w:rsidRPr="00042F16">
        <w:rPr>
          <w:rFonts w:ascii="Verdana" w:hAnsi="Verdana" w:cstheme="minorHAnsi"/>
          <w:sz w:val="20"/>
          <w:szCs w:val="20"/>
        </w:rPr>
        <w:t>”). The C</w:t>
      </w:r>
      <w:r w:rsidRPr="00042F16">
        <w:rPr>
          <w:rFonts w:ascii="Verdana" w:hAnsi="Verdana" w:cstheme="minorHAnsi"/>
          <w:sz w:val="20"/>
          <w:szCs w:val="20"/>
        </w:rPr>
        <w:t>ARC</w:t>
      </w:r>
      <w:r w:rsidR="00263F4B" w:rsidRPr="00042F16">
        <w:rPr>
          <w:rFonts w:ascii="Verdana" w:hAnsi="Verdana" w:cstheme="minorHAnsi"/>
          <w:sz w:val="20"/>
          <w:szCs w:val="20"/>
        </w:rPr>
        <w:t xml:space="preserve"> meets at least three times a year, and any time deemed necessary, to discuss various topics in the fields of:</w:t>
      </w:r>
    </w:p>
    <w:p w14:paraId="78AEC671" w14:textId="0602F9A7" w:rsidR="00263F4B" w:rsidRPr="00042F16" w:rsidRDefault="00263F4B" w:rsidP="00042F16">
      <w:pPr>
        <w:pStyle w:val="ListParagraph"/>
        <w:numPr>
          <w:ilvl w:val="0"/>
          <w:numId w:val="33"/>
        </w:numPr>
        <w:spacing w:after="0" w:line="240" w:lineRule="auto"/>
        <w:rPr>
          <w:rFonts w:ascii="Verdana" w:hAnsi="Verdana" w:cstheme="minorHAnsi"/>
          <w:sz w:val="20"/>
          <w:szCs w:val="20"/>
        </w:rPr>
      </w:pPr>
      <w:r w:rsidRPr="00042F16">
        <w:rPr>
          <w:rFonts w:ascii="Verdana" w:hAnsi="Verdana" w:cstheme="minorHAnsi"/>
          <w:sz w:val="20"/>
          <w:szCs w:val="20"/>
        </w:rPr>
        <w:t>Financial information;</w:t>
      </w:r>
    </w:p>
    <w:p w14:paraId="77806E32" w14:textId="36FA2135" w:rsidR="00263F4B" w:rsidRPr="00042F16" w:rsidRDefault="00A11BC8" w:rsidP="00042F16">
      <w:pPr>
        <w:pStyle w:val="ListParagraph"/>
        <w:numPr>
          <w:ilvl w:val="0"/>
          <w:numId w:val="33"/>
        </w:numPr>
        <w:spacing w:after="0" w:line="240" w:lineRule="auto"/>
        <w:rPr>
          <w:rFonts w:ascii="Verdana" w:hAnsi="Verdana" w:cstheme="minorHAnsi"/>
          <w:sz w:val="20"/>
          <w:szCs w:val="20"/>
        </w:rPr>
      </w:pPr>
      <w:r w:rsidRPr="00042F16">
        <w:rPr>
          <w:rFonts w:ascii="Verdana" w:hAnsi="Verdana" w:cstheme="minorHAnsi"/>
          <w:sz w:val="20"/>
          <w:szCs w:val="20"/>
        </w:rPr>
        <w:t>External audit</w:t>
      </w:r>
      <w:r w:rsidR="00263F4B" w:rsidRPr="00042F16">
        <w:rPr>
          <w:rFonts w:ascii="Verdana" w:hAnsi="Verdana" w:cstheme="minorHAnsi"/>
          <w:sz w:val="20"/>
          <w:szCs w:val="20"/>
        </w:rPr>
        <w:t>;</w:t>
      </w:r>
    </w:p>
    <w:p w14:paraId="08071971" w14:textId="51394A6A" w:rsidR="00263F4B" w:rsidRPr="00042F16" w:rsidRDefault="00A11BC8" w:rsidP="00042F16">
      <w:pPr>
        <w:pStyle w:val="ListParagraph"/>
        <w:numPr>
          <w:ilvl w:val="0"/>
          <w:numId w:val="33"/>
        </w:numPr>
        <w:spacing w:after="0" w:line="240" w:lineRule="auto"/>
        <w:rPr>
          <w:rFonts w:ascii="Verdana" w:hAnsi="Verdana" w:cstheme="minorHAnsi"/>
          <w:sz w:val="20"/>
          <w:szCs w:val="20"/>
        </w:rPr>
      </w:pPr>
      <w:r w:rsidRPr="00042F16">
        <w:rPr>
          <w:rFonts w:ascii="Verdana" w:hAnsi="Verdana" w:cstheme="minorHAnsi"/>
          <w:sz w:val="20"/>
          <w:szCs w:val="20"/>
        </w:rPr>
        <w:t>Internal audit</w:t>
      </w:r>
      <w:r w:rsidR="00263F4B" w:rsidRPr="00042F16">
        <w:rPr>
          <w:rFonts w:ascii="Verdana" w:hAnsi="Verdana" w:cstheme="minorHAnsi"/>
          <w:sz w:val="20"/>
          <w:szCs w:val="20"/>
        </w:rPr>
        <w:t>;</w:t>
      </w:r>
    </w:p>
    <w:p w14:paraId="2D66CB4C" w14:textId="6C757775" w:rsidR="00263F4B" w:rsidRPr="00042F16" w:rsidRDefault="00A11BC8" w:rsidP="00042F16">
      <w:pPr>
        <w:pStyle w:val="ListParagraph"/>
        <w:numPr>
          <w:ilvl w:val="0"/>
          <w:numId w:val="33"/>
        </w:numPr>
        <w:spacing w:after="0" w:line="240" w:lineRule="auto"/>
        <w:rPr>
          <w:rFonts w:ascii="Verdana" w:hAnsi="Verdana" w:cstheme="minorHAnsi"/>
          <w:sz w:val="20"/>
          <w:szCs w:val="20"/>
        </w:rPr>
      </w:pPr>
      <w:r w:rsidRPr="00042F16">
        <w:rPr>
          <w:rFonts w:ascii="Verdana" w:hAnsi="Verdana" w:cstheme="minorHAnsi"/>
          <w:sz w:val="20"/>
          <w:szCs w:val="20"/>
        </w:rPr>
        <w:t>Compliance</w:t>
      </w:r>
      <w:r w:rsidR="00263F4B" w:rsidRPr="00042F16">
        <w:rPr>
          <w:rFonts w:ascii="Verdana" w:hAnsi="Verdana" w:cstheme="minorHAnsi"/>
          <w:sz w:val="20"/>
          <w:szCs w:val="20"/>
        </w:rPr>
        <w:t>;</w:t>
      </w:r>
    </w:p>
    <w:p w14:paraId="219CD797" w14:textId="5C972A66" w:rsidR="00393FB2" w:rsidRPr="00042F16" w:rsidRDefault="00263F4B" w:rsidP="00042F16">
      <w:pPr>
        <w:pStyle w:val="ListParagraph"/>
        <w:numPr>
          <w:ilvl w:val="0"/>
          <w:numId w:val="33"/>
        </w:numPr>
        <w:spacing w:after="0" w:line="240" w:lineRule="auto"/>
        <w:rPr>
          <w:rFonts w:ascii="Verdana" w:hAnsi="Verdana" w:cstheme="minorHAnsi"/>
          <w:sz w:val="20"/>
          <w:szCs w:val="20"/>
        </w:rPr>
      </w:pPr>
      <w:r w:rsidRPr="00042F16">
        <w:rPr>
          <w:rFonts w:ascii="Verdana" w:hAnsi="Verdana" w:cstheme="minorHAnsi"/>
          <w:sz w:val="20"/>
          <w:szCs w:val="20"/>
        </w:rPr>
        <w:t>Risk management.</w:t>
      </w:r>
    </w:p>
    <w:p w14:paraId="0D3B8BCB" w14:textId="77777777" w:rsidR="00F71FFD" w:rsidRPr="00042F16" w:rsidRDefault="00F71FFD" w:rsidP="00042F16">
      <w:pPr>
        <w:pStyle w:val="Subtitle"/>
        <w:spacing w:after="0"/>
        <w:rPr>
          <w:rFonts w:ascii="Verdana" w:hAnsi="Verdana" w:cstheme="minorHAnsi"/>
          <w:sz w:val="20"/>
          <w:szCs w:val="20"/>
        </w:rPr>
      </w:pPr>
    </w:p>
    <w:p w14:paraId="76C10317" w14:textId="77777777" w:rsidR="00532CEE" w:rsidRPr="00042F16" w:rsidRDefault="00532CEE" w:rsidP="00042F16">
      <w:pPr>
        <w:pStyle w:val="Subtitle"/>
        <w:spacing w:after="0"/>
        <w:rPr>
          <w:rFonts w:ascii="Verdana" w:hAnsi="Verdana" w:cstheme="minorHAnsi"/>
          <w:sz w:val="20"/>
          <w:szCs w:val="20"/>
        </w:rPr>
      </w:pPr>
      <w:r w:rsidRPr="00042F16">
        <w:rPr>
          <w:rFonts w:ascii="Verdana" w:hAnsi="Verdana" w:cstheme="minorHAnsi"/>
          <w:sz w:val="20"/>
          <w:szCs w:val="20"/>
        </w:rPr>
        <w:t>Office Managers</w:t>
      </w:r>
    </w:p>
    <w:p w14:paraId="2AA1C61D" w14:textId="77777777" w:rsidR="00042F16" w:rsidRDefault="00042F16" w:rsidP="00042F16">
      <w:pPr>
        <w:spacing w:after="0" w:line="240" w:lineRule="auto"/>
        <w:rPr>
          <w:rFonts w:ascii="Verdana" w:hAnsi="Verdana" w:cstheme="minorHAnsi"/>
          <w:sz w:val="20"/>
          <w:szCs w:val="20"/>
        </w:rPr>
      </w:pPr>
    </w:p>
    <w:p w14:paraId="65A0721A" w14:textId="0A60D607" w:rsidR="00532CEE" w:rsidRPr="00042F16" w:rsidRDefault="00532CEE"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Office </w:t>
      </w:r>
      <w:r w:rsidR="000661AB" w:rsidRPr="00042F16">
        <w:rPr>
          <w:rFonts w:ascii="Verdana" w:hAnsi="Verdana" w:cstheme="minorHAnsi"/>
          <w:sz w:val="20"/>
          <w:szCs w:val="20"/>
        </w:rPr>
        <w:t>M</w:t>
      </w:r>
      <w:r w:rsidRPr="00042F16">
        <w:rPr>
          <w:rFonts w:ascii="Verdana" w:hAnsi="Verdana" w:cstheme="minorHAnsi"/>
          <w:sz w:val="20"/>
          <w:szCs w:val="20"/>
        </w:rPr>
        <w:t xml:space="preserve">anagers are responsible for: </w:t>
      </w:r>
    </w:p>
    <w:p w14:paraId="57464D40" w14:textId="3FFF81B1" w:rsidR="00532CEE" w:rsidRPr="00042F16" w:rsidRDefault="00532CEE" w:rsidP="00042F16">
      <w:pPr>
        <w:pStyle w:val="ListParagraph"/>
        <w:numPr>
          <w:ilvl w:val="0"/>
          <w:numId w:val="5"/>
        </w:numPr>
        <w:spacing w:after="0" w:line="240" w:lineRule="auto"/>
        <w:rPr>
          <w:rFonts w:ascii="Verdana" w:hAnsi="Verdana" w:cstheme="minorHAnsi"/>
          <w:sz w:val="20"/>
          <w:szCs w:val="20"/>
        </w:rPr>
      </w:pPr>
      <w:r w:rsidRPr="00042F16">
        <w:rPr>
          <w:rFonts w:ascii="Verdana" w:hAnsi="Verdana" w:cstheme="minorHAnsi"/>
          <w:sz w:val="20"/>
          <w:szCs w:val="20"/>
        </w:rPr>
        <w:t xml:space="preserve">Implementing </w:t>
      </w:r>
      <w:r w:rsidR="00FE41F2" w:rsidRPr="00042F16">
        <w:rPr>
          <w:rFonts w:ascii="Verdana" w:hAnsi="Verdana" w:cstheme="minorHAnsi"/>
          <w:sz w:val="20"/>
          <w:szCs w:val="20"/>
        </w:rPr>
        <w:t xml:space="preserve">group </w:t>
      </w:r>
      <w:r w:rsidRPr="00042F16">
        <w:rPr>
          <w:rFonts w:ascii="Verdana" w:hAnsi="Verdana" w:cstheme="minorHAnsi"/>
          <w:sz w:val="20"/>
          <w:szCs w:val="20"/>
        </w:rPr>
        <w:t>Risk Management policies and decisions with local entities of the Group</w:t>
      </w:r>
      <w:r w:rsidR="00A11BC8" w:rsidRPr="00042F16">
        <w:rPr>
          <w:rFonts w:ascii="Verdana" w:hAnsi="Verdana" w:cstheme="minorHAnsi"/>
          <w:sz w:val="20"/>
          <w:szCs w:val="20"/>
        </w:rPr>
        <w:t>;</w:t>
      </w:r>
    </w:p>
    <w:p w14:paraId="3F0E691E" w14:textId="2F6D9FAF" w:rsidR="00532CEE" w:rsidRPr="00042F16" w:rsidRDefault="00532CEE" w:rsidP="00042F16">
      <w:pPr>
        <w:pStyle w:val="ListParagraph"/>
        <w:numPr>
          <w:ilvl w:val="0"/>
          <w:numId w:val="5"/>
        </w:numPr>
        <w:spacing w:after="0" w:line="240" w:lineRule="auto"/>
        <w:rPr>
          <w:rFonts w:ascii="Verdana" w:hAnsi="Verdana" w:cstheme="minorHAnsi"/>
          <w:sz w:val="20"/>
          <w:szCs w:val="20"/>
        </w:rPr>
      </w:pPr>
      <w:r w:rsidRPr="00042F16">
        <w:rPr>
          <w:rFonts w:ascii="Verdana" w:hAnsi="Verdana" w:cstheme="minorHAnsi"/>
          <w:sz w:val="20"/>
          <w:szCs w:val="20"/>
        </w:rPr>
        <w:t>Ensuring adequate</w:t>
      </w:r>
      <w:r w:rsidR="00FB085D" w:rsidRPr="00042F16">
        <w:rPr>
          <w:rFonts w:ascii="Verdana" w:hAnsi="Verdana" w:cstheme="minorHAnsi"/>
          <w:sz w:val="20"/>
          <w:szCs w:val="20"/>
        </w:rPr>
        <w:t xml:space="preserve"> Risk Management</w:t>
      </w:r>
      <w:r w:rsidRPr="00042F16">
        <w:rPr>
          <w:rFonts w:ascii="Verdana" w:hAnsi="Verdana" w:cstheme="minorHAnsi"/>
          <w:sz w:val="20"/>
          <w:szCs w:val="20"/>
        </w:rPr>
        <w:t>. They have the primary responsibility for the day-to-day management and control of risks with</w:t>
      </w:r>
      <w:r w:rsidR="00A11BC8" w:rsidRPr="00042F16">
        <w:rPr>
          <w:rFonts w:ascii="Verdana" w:hAnsi="Verdana" w:cstheme="minorHAnsi"/>
          <w:sz w:val="20"/>
          <w:szCs w:val="20"/>
        </w:rPr>
        <w:t>in their areas of the business;</w:t>
      </w:r>
    </w:p>
    <w:p w14:paraId="26E367B6" w14:textId="77777777" w:rsidR="00532CEE" w:rsidRPr="00042F16" w:rsidRDefault="00532CEE" w:rsidP="00042F16">
      <w:pPr>
        <w:pStyle w:val="ListParagraph"/>
        <w:numPr>
          <w:ilvl w:val="0"/>
          <w:numId w:val="5"/>
        </w:numPr>
        <w:spacing w:after="0" w:line="240" w:lineRule="auto"/>
        <w:rPr>
          <w:rFonts w:ascii="Verdana" w:hAnsi="Verdana" w:cstheme="minorHAnsi"/>
          <w:sz w:val="20"/>
          <w:szCs w:val="20"/>
        </w:rPr>
      </w:pPr>
      <w:r w:rsidRPr="00042F16">
        <w:rPr>
          <w:rFonts w:ascii="Verdana" w:hAnsi="Verdana" w:cstheme="minorHAnsi"/>
          <w:sz w:val="20"/>
          <w:szCs w:val="20"/>
        </w:rPr>
        <w:t>They are responsible of implementing the Risk Management strategy, policy and framework and of setting effective and efficient systems of internal control, including financial, operational, compliance and Risk Management within their entity.</w:t>
      </w:r>
    </w:p>
    <w:p w14:paraId="406EAA83" w14:textId="77777777" w:rsidR="00F71FFD" w:rsidRPr="00042F16" w:rsidRDefault="00F71FFD" w:rsidP="00042F16">
      <w:pPr>
        <w:pStyle w:val="Subtitle"/>
        <w:spacing w:after="0"/>
        <w:rPr>
          <w:rFonts w:ascii="Verdana" w:hAnsi="Verdana" w:cstheme="minorHAnsi"/>
          <w:sz w:val="20"/>
          <w:szCs w:val="20"/>
        </w:rPr>
      </w:pPr>
    </w:p>
    <w:p w14:paraId="6CC9ADC5" w14:textId="4E12E138" w:rsidR="009A4306" w:rsidRPr="00042F16" w:rsidRDefault="009A4306" w:rsidP="00042F16">
      <w:pPr>
        <w:pStyle w:val="Subtitle"/>
        <w:spacing w:after="0"/>
        <w:rPr>
          <w:rFonts w:ascii="Verdana" w:hAnsi="Verdana" w:cstheme="minorHAnsi"/>
          <w:sz w:val="20"/>
          <w:szCs w:val="20"/>
        </w:rPr>
      </w:pPr>
      <w:r w:rsidRPr="00042F16">
        <w:rPr>
          <w:rFonts w:ascii="Verdana" w:hAnsi="Verdana" w:cstheme="minorHAnsi"/>
          <w:sz w:val="20"/>
          <w:szCs w:val="20"/>
        </w:rPr>
        <w:t xml:space="preserve">Risk Management </w:t>
      </w:r>
      <w:r w:rsidR="00971806" w:rsidRPr="00042F16">
        <w:rPr>
          <w:rFonts w:ascii="Verdana" w:hAnsi="Verdana" w:cstheme="minorHAnsi"/>
          <w:sz w:val="20"/>
          <w:szCs w:val="20"/>
        </w:rPr>
        <w:t xml:space="preserve">department </w:t>
      </w:r>
      <w:r w:rsidRPr="00042F16">
        <w:rPr>
          <w:rFonts w:ascii="Verdana" w:hAnsi="Verdana" w:cstheme="minorHAnsi"/>
          <w:sz w:val="20"/>
          <w:szCs w:val="20"/>
        </w:rPr>
        <w:t>(RM)</w:t>
      </w:r>
    </w:p>
    <w:p w14:paraId="1EAB638D" w14:textId="77777777" w:rsidR="00042F16" w:rsidRDefault="00042F16" w:rsidP="00042F16">
      <w:pPr>
        <w:spacing w:after="0" w:line="240" w:lineRule="auto"/>
        <w:rPr>
          <w:rFonts w:ascii="Verdana" w:hAnsi="Verdana" w:cstheme="minorHAnsi"/>
          <w:sz w:val="20"/>
          <w:szCs w:val="20"/>
        </w:rPr>
      </w:pPr>
    </w:p>
    <w:p w14:paraId="1695D94E" w14:textId="37082D21" w:rsidR="001833D5" w:rsidRPr="00042F16" w:rsidRDefault="003679C4"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The RM department is part of the Internal Control infrastructure within </w:t>
      </w:r>
      <w:r w:rsidR="00DF0FC6" w:rsidRPr="00042F16">
        <w:rPr>
          <w:rFonts w:ascii="Verdana" w:hAnsi="Verdana" w:cstheme="minorHAnsi"/>
          <w:sz w:val="20"/>
          <w:szCs w:val="20"/>
        </w:rPr>
        <w:t>t</w:t>
      </w:r>
      <w:r w:rsidR="000661AB" w:rsidRPr="00042F16">
        <w:rPr>
          <w:rFonts w:ascii="Verdana" w:hAnsi="Verdana" w:cstheme="minorHAnsi"/>
          <w:sz w:val="20"/>
          <w:szCs w:val="20"/>
        </w:rPr>
        <w:t>he Company</w:t>
      </w:r>
      <w:r w:rsidRPr="00042F16">
        <w:rPr>
          <w:rFonts w:ascii="Verdana" w:hAnsi="Verdana" w:cstheme="minorHAnsi"/>
          <w:sz w:val="20"/>
          <w:szCs w:val="20"/>
        </w:rPr>
        <w:t xml:space="preserve">. </w:t>
      </w:r>
      <w:r w:rsidR="00971806" w:rsidRPr="00042F16">
        <w:rPr>
          <w:rFonts w:ascii="Verdana" w:hAnsi="Verdana" w:cstheme="minorHAnsi"/>
          <w:sz w:val="20"/>
          <w:szCs w:val="20"/>
        </w:rPr>
        <w:t xml:space="preserve">The </w:t>
      </w:r>
      <w:r w:rsidRPr="00042F16">
        <w:rPr>
          <w:rFonts w:ascii="Verdana" w:hAnsi="Verdana" w:cstheme="minorHAnsi"/>
          <w:sz w:val="20"/>
          <w:szCs w:val="20"/>
        </w:rPr>
        <w:t>RM depa</w:t>
      </w:r>
      <w:r w:rsidR="00FB085D" w:rsidRPr="00042F16">
        <w:rPr>
          <w:rFonts w:ascii="Verdana" w:hAnsi="Verdana" w:cstheme="minorHAnsi"/>
          <w:sz w:val="20"/>
          <w:szCs w:val="20"/>
        </w:rPr>
        <w:t>rtment constitutes the</w:t>
      </w:r>
      <w:r w:rsidRPr="00042F16">
        <w:rPr>
          <w:rFonts w:ascii="Verdana" w:hAnsi="Verdana" w:cstheme="minorHAnsi"/>
          <w:sz w:val="20"/>
          <w:szCs w:val="20"/>
        </w:rPr>
        <w:t xml:space="preserve"> structure necessary to </w:t>
      </w:r>
      <w:r w:rsidR="00FB085D" w:rsidRPr="00042F16">
        <w:rPr>
          <w:rFonts w:ascii="Verdana" w:hAnsi="Verdana" w:cstheme="minorHAnsi"/>
          <w:sz w:val="20"/>
          <w:szCs w:val="20"/>
        </w:rPr>
        <w:t>identify,</w:t>
      </w:r>
      <w:r w:rsidRPr="00042F16">
        <w:rPr>
          <w:rFonts w:ascii="Verdana" w:hAnsi="Verdana" w:cstheme="minorHAnsi"/>
          <w:sz w:val="20"/>
          <w:szCs w:val="20"/>
        </w:rPr>
        <w:t xml:space="preserve"> measure and manage the group-wide risk exposures. Through this process, RM department monitors compliance within the overall RM policy and ens</w:t>
      </w:r>
      <w:r w:rsidR="00FB085D" w:rsidRPr="00042F16">
        <w:rPr>
          <w:rFonts w:ascii="Verdana" w:hAnsi="Verdana" w:cstheme="minorHAnsi"/>
          <w:sz w:val="20"/>
          <w:szCs w:val="20"/>
        </w:rPr>
        <w:t xml:space="preserve">ures that the framework is </w:t>
      </w:r>
      <w:r w:rsidRPr="00042F16">
        <w:rPr>
          <w:rFonts w:ascii="Verdana" w:hAnsi="Verdana" w:cstheme="minorHAnsi"/>
          <w:sz w:val="20"/>
          <w:szCs w:val="20"/>
        </w:rPr>
        <w:t xml:space="preserve">up-to-date. </w:t>
      </w:r>
    </w:p>
    <w:p w14:paraId="059B7695" w14:textId="77777777" w:rsidR="00042F16" w:rsidRDefault="00042F16" w:rsidP="00042F16">
      <w:pPr>
        <w:spacing w:after="0" w:line="240" w:lineRule="auto"/>
        <w:rPr>
          <w:rFonts w:ascii="Verdana" w:hAnsi="Verdana" w:cstheme="minorHAnsi"/>
          <w:sz w:val="20"/>
          <w:szCs w:val="20"/>
        </w:rPr>
      </w:pPr>
    </w:p>
    <w:p w14:paraId="19108A63" w14:textId="16997E70" w:rsidR="003679C4" w:rsidRPr="00042F16" w:rsidRDefault="003679C4" w:rsidP="00042F16">
      <w:pPr>
        <w:spacing w:after="0" w:line="240" w:lineRule="auto"/>
        <w:rPr>
          <w:rFonts w:ascii="Verdana" w:hAnsi="Verdana" w:cstheme="minorHAnsi"/>
          <w:sz w:val="20"/>
          <w:szCs w:val="20"/>
        </w:rPr>
      </w:pPr>
      <w:r w:rsidRPr="00042F16">
        <w:rPr>
          <w:rFonts w:ascii="Verdana" w:hAnsi="Verdana" w:cstheme="minorHAnsi"/>
          <w:sz w:val="20"/>
          <w:szCs w:val="20"/>
        </w:rPr>
        <w:t>Ris</w:t>
      </w:r>
      <w:r w:rsidR="00FB085D" w:rsidRPr="00042F16">
        <w:rPr>
          <w:rFonts w:ascii="Verdana" w:hAnsi="Verdana" w:cstheme="minorHAnsi"/>
          <w:sz w:val="20"/>
          <w:szCs w:val="20"/>
        </w:rPr>
        <w:t>k management is responsible for</w:t>
      </w:r>
      <w:r w:rsidR="003858DC" w:rsidRPr="00042F16">
        <w:rPr>
          <w:rFonts w:ascii="Verdana" w:hAnsi="Verdana" w:cstheme="minorHAnsi"/>
          <w:sz w:val="20"/>
          <w:szCs w:val="20"/>
        </w:rPr>
        <w:t xml:space="preserve"> defining the Risk Management framework</w:t>
      </w:r>
      <w:r w:rsidR="00FB085D" w:rsidRPr="00042F16">
        <w:rPr>
          <w:rFonts w:ascii="Verdana" w:hAnsi="Verdana" w:cstheme="minorHAnsi"/>
          <w:sz w:val="20"/>
          <w:szCs w:val="20"/>
        </w:rPr>
        <w:t>:</w:t>
      </w:r>
      <w:r w:rsidRPr="00042F16">
        <w:rPr>
          <w:rFonts w:ascii="Verdana" w:hAnsi="Verdana" w:cstheme="minorHAnsi"/>
          <w:sz w:val="20"/>
          <w:szCs w:val="20"/>
        </w:rPr>
        <w:t xml:space="preserve"> </w:t>
      </w:r>
    </w:p>
    <w:p w14:paraId="2A99BC60" w14:textId="7C1E2155"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Performing group-wide risk assessment</w:t>
      </w:r>
      <w:r w:rsidR="00C245DE" w:rsidRPr="00042F16">
        <w:rPr>
          <w:rFonts w:ascii="Verdana" w:hAnsi="Verdana" w:cstheme="minorHAnsi"/>
          <w:sz w:val="20"/>
          <w:szCs w:val="20"/>
        </w:rPr>
        <w:t>;</w:t>
      </w:r>
    </w:p>
    <w:p w14:paraId="66DC827E" w14:textId="3874D016"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Developing necessary action plans and dashboards</w:t>
      </w:r>
      <w:r w:rsidR="00C245DE" w:rsidRPr="00042F16">
        <w:rPr>
          <w:rFonts w:ascii="Verdana" w:hAnsi="Verdana" w:cstheme="minorHAnsi"/>
          <w:sz w:val="20"/>
          <w:szCs w:val="20"/>
        </w:rPr>
        <w:t>;</w:t>
      </w:r>
    </w:p>
    <w:p w14:paraId="348710E3" w14:textId="2B6FD3A1"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Coordinating RM standards within the Group</w:t>
      </w:r>
      <w:r w:rsidR="00C245DE" w:rsidRPr="00042F16">
        <w:rPr>
          <w:rFonts w:ascii="Verdana" w:hAnsi="Verdana" w:cstheme="minorHAnsi"/>
          <w:sz w:val="20"/>
          <w:szCs w:val="20"/>
        </w:rPr>
        <w:t>;</w:t>
      </w:r>
    </w:p>
    <w:p w14:paraId="3C9FAAA2" w14:textId="241C02B6"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Aggregating, assessing, monitoring and reporting risks exposures</w:t>
      </w:r>
      <w:r w:rsidR="00C245DE" w:rsidRPr="00042F16">
        <w:rPr>
          <w:rFonts w:ascii="Verdana" w:hAnsi="Verdana" w:cstheme="minorHAnsi"/>
          <w:sz w:val="20"/>
          <w:szCs w:val="20"/>
        </w:rPr>
        <w:t>;</w:t>
      </w:r>
    </w:p>
    <w:p w14:paraId="5461DE58" w14:textId="43C638BD"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Reviewing new product/activity proposals</w:t>
      </w:r>
      <w:r w:rsidR="00C245DE" w:rsidRPr="00042F16">
        <w:rPr>
          <w:rFonts w:ascii="Verdana" w:hAnsi="Verdana" w:cstheme="minorHAnsi"/>
          <w:sz w:val="20"/>
          <w:szCs w:val="20"/>
        </w:rPr>
        <w:t>;</w:t>
      </w:r>
    </w:p>
    <w:p w14:paraId="499BB979" w14:textId="3B1F4830"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Supervising compliance of activity with the risk governance framework and RM standards</w:t>
      </w:r>
      <w:r w:rsidR="00C245DE" w:rsidRPr="00042F16">
        <w:rPr>
          <w:rFonts w:ascii="Verdana" w:hAnsi="Verdana" w:cstheme="minorHAnsi"/>
          <w:sz w:val="20"/>
          <w:szCs w:val="20"/>
        </w:rPr>
        <w:t>;</w:t>
      </w:r>
    </w:p>
    <w:p w14:paraId="7627392F" w14:textId="64BFA70F"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Providing advice on risk related questions</w:t>
      </w:r>
      <w:r w:rsidR="00C245DE" w:rsidRPr="00042F16">
        <w:rPr>
          <w:rFonts w:ascii="Verdana" w:hAnsi="Verdana" w:cstheme="minorHAnsi"/>
          <w:sz w:val="20"/>
          <w:szCs w:val="20"/>
        </w:rPr>
        <w:t>;</w:t>
      </w:r>
    </w:p>
    <w:p w14:paraId="59C9C54C" w14:textId="539FB175" w:rsidR="003679C4" w:rsidRPr="00042F16" w:rsidRDefault="003679C4"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 xml:space="preserve">Maintaining relevant contacts with internal and external auditors on risk related issues. </w:t>
      </w:r>
    </w:p>
    <w:p w14:paraId="0A7D57BC" w14:textId="77777777" w:rsidR="00042F16" w:rsidRDefault="00042F16" w:rsidP="00042F16">
      <w:pPr>
        <w:spacing w:after="0" w:line="240" w:lineRule="auto"/>
        <w:rPr>
          <w:rFonts w:ascii="Verdana" w:hAnsi="Verdana" w:cstheme="minorHAnsi"/>
          <w:sz w:val="20"/>
          <w:szCs w:val="20"/>
        </w:rPr>
      </w:pPr>
    </w:p>
    <w:p w14:paraId="3067C0CD" w14:textId="09D19851" w:rsidR="001833D5" w:rsidRPr="00042F16" w:rsidRDefault="001833D5"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The RM department is composed of three full-time employees including </w:t>
      </w:r>
      <w:proofErr w:type="spellStart"/>
      <w:r w:rsidRPr="00042F16">
        <w:rPr>
          <w:rFonts w:ascii="Verdana" w:hAnsi="Verdana" w:cstheme="minorHAnsi"/>
          <w:sz w:val="20"/>
          <w:szCs w:val="20"/>
        </w:rPr>
        <w:t>Mrs.</w:t>
      </w:r>
      <w:proofErr w:type="spellEnd"/>
      <w:r w:rsidRPr="00042F16">
        <w:rPr>
          <w:rFonts w:ascii="Verdana" w:hAnsi="Verdana" w:cstheme="minorHAnsi"/>
          <w:sz w:val="20"/>
          <w:szCs w:val="20"/>
        </w:rPr>
        <w:t xml:space="preserve"> Sylvie </w:t>
      </w:r>
      <w:proofErr w:type="spellStart"/>
      <w:r w:rsidRPr="00042F16">
        <w:rPr>
          <w:rFonts w:ascii="Verdana" w:hAnsi="Verdana" w:cstheme="minorHAnsi"/>
          <w:sz w:val="20"/>
          <w:szCs w:val="20"/>
        </w:rPr>
        <w:t>Lanari</w:t>
      </w:r>
      <w:proofErr w:type="spellEnd"/>
      <w:r w:rsidRPr="00042F16">
        <w:rPr>
          <w:rFonts w:ascii="Verdana" w:hAnsi="Verdana" w:cstheme="minorHAnsi"/>
          <w:sz w:val="20"/>
          <w:szCs w:val="20"/>
        </w:rPr>
        <w:t xml:space="preserve"> who is the Chief Risk Officer of the Company. </w:t>
      </w:r>
    </w:p>
    <w:p w14:paraId="141937B6" w14:textId="19A98FF2" w:rsidR="00FB085D" w:rsidRPr="00042F16" w:rsidRDefault="003679C4"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The </w:t>
      </w:r>
      <w:r w:rsidR="00971806" w:rsidRPr="00042F16">
        <w:rPr>
          <w:rFonts w:ascii="Verdana" w:hAnsi="Verdana" w:cstheme="minorHAnsi"/>
          <w:sz w:val="20"/>
          <w:szCs w:val="20"/>
        </w:rPr>
        <w:t>Chief Risk Officer</w:t>
      </w:r>
      <w:r w:rsidRPr="00042F16">
        <w:rPr>
          <w:rFonts w:ascii="Verdana" w:hAnsi="Verdana" w:cstheme="minorHAnsi"/>
          <w:sz w:val="20"/>
          <w:szCs w:val="20"/>
        </w:rPr>
        <w:t xml:space="preserve"> report</w:t>
      </w:r>
      <w:r w:rsidR="00E32CF7" w:rsidRPr="00042F16">
        <w:rPr>
          <w:rFonts w:ascii="Verdana" w:hAnsi="Verdana" w:cstheme="minorHAnsi"/>
          <w:sz w:val="20"/>
          <w:szCs w:val="20"/>
        </w:rPr>
        <w:t>s</w:t>
      </w:r>
      <w:r w:rsidRPr="00042F16">
        <w:rPr>
          <w:rFonts w:ascii="Verdana" w:hAnsi="Verdana" w:cstheme="minorHAnsi"/>
          <w:sz w:val="20"/>
          <w:szCs w:val="20"/>
        </w:rPr>
        <w:t xml:space="preserve"> hierarchically to the E</w:t>
      </w:r>
      <w:r w:rsidR="002D7A2F" w:rsidRPr="00042F16">
        <w:rPr>
          <w:rFonts w:ascii="Verdana" w:hAnsi="Verdana" w:cstheme="minorHAnsi"/>
          <w:sz w:val="20"/>
          <w:szCs w:val="20"/>
        </w:rPr>
        <w:t>C</w:t>
      </w:r>
      <w:r w:rsidRPr="00042F16">
        <w:rPr>
          <w:rFonts w:ascii="Verdana" w:hAnsi="Verdana" w:cstheme="minorHAnsi"/>
          <w:sz w:val="20"/>
          <w:szCs w:val="20"/>
        </w:rPr>
        <w:t xml:space="preserve">. However, the Chief Risk Officer may communicate directly and on its own initiative with the </w:t>
      </w:r>
      <w:proofErr w:type="spellStart"/>
      <w:r w:rsidR="000C6BA5" w:rsidRPr="00042F16">
        <w:rPr>
          <w:rFonts w:ascii="Verdana" w:hAnsi="Verdana" w:cstheme="minorHAnsi"/>
          <w:sz w:val="20"/>
          <w:szCs w:val="20"/>
        </w:rPr>
        <w:t>BoD</w:t>
      </w:r>
      <w:proofErr w:type="spellEnd"/>
      <w:r w:rsidRPr="00042F16">
        <w:rPr>
          <w:rFonts w:ascii="Verdana" w:hAnsi="Verdana" w:cstheme="minorHAnsi"/>
          <w:sz w:val="20"/>
          <w:szCs w:val="20"/>
        </w:rPr>
        <w:t xml:space="preserve">, with the CSSF or BNB (Belgian regulator) and with the </w:t>
      </w:r>
      <w:r w:rsidR="000661AB" w:rsidRPr="00042F16">
        <w:rPr>
          <w:rFonts w:ascii="Verdana" w:hAnsi="Verdana" w:cstheme="minorHAnsi"/>
          <w:sz w:val="20"/>
          <w:szCs w:val="20"/>
        </w:rPr>
        <w:t xml:space="preserve">external </w:t>
      </w:r>
      <w:r w:rsidRPr="00042F16">
        <w:rPr>
          <w:rFonts w:ascii="Verdana" w:hAnsi="Verdana" w:cstheme="minorHAnsi"/>
          <w:sz w:val="20"/>
          <w:szCs w:val="20"/>
        </w:rPr>
        <w:t>auditor. When the RM con</w:t>
      </w:r>
      <w:r w:rsidR="001833D5" w:rsidRPr="00042F16">
        <w:rPr>
          <w:rFonts w:ascii="Verdana" w:hAnsi="Verdana" w:cstheme="minorHAnsi"/>
          <w:sz w:val="20"/>
          <w:szCs w:val="20"/>
        </w:rPr>
        <w:t>siders that the</w:t>
      </w:r>
      <w:r w:rsidRPr="00042F16">
        <w:rPr>
          <w:rFonts w:ascii="Verdana" w:hAnsi="Verdana" w:cstheme="minorHAnsi"/>
          <w:sz w:val="20"/>
          <w:szCs w:val="20"/>
        </w:rPr>
        <w:t xml:space="preserve"> safe management of the business is compromised, it shall inform as soon as possible the E</w:t>
      </w:r>
      <w:r w:rsidR="000661AB" w:rsidRPr="00042F16">
        <w:rPr>
          <w:rFonts w:ascii="Verdana" w:hAnsi="Verdana" w:cstheme="minorHAnsi"/>
          <w:sz w:val="20"/>
          <w:szCs w:val="20"/>
        </w:rPr>
        <w:t>C</w:t>
      </w:r>
      <w:r w:rsidRPr="00042F16">
        <w:rPr>
          <w:rFonts w:ascii="Verdana" w:hAnsi="Verdana" w:cstheme="minorHAnsi"/>
          <w:sz w:val="20"/>
          <w:szCs w:val="20"/>
        </w:rPr>
        <w:t xml:space="preserve"> and the </w:t>
      </w:r>
      <w:proofErr w:type="spellStart"/>
      <w:r w:rsidR="000C6BA5" w:rsidRPr="00042F16">
        <w:rPr>
          <w:rFonts w:ascii="Verdana" w:hAnsi="Verdana" w:cstheme="minorHAnsi"/>
          <w:sz w:val="20"/>
          <w:szCs w:val="20"/>
        </w:rPr>
        <w:t>BoD</w:t>
      </w:r>
      <w:proofErr w:type="spellEnd"/>
      <w:r w:rsidRPr="00042F16">
        <w:rPr>
          <w:rFonts w:ascii="Verdana" w:hAnsi="Verdana" w:cstheme="minorHAnsi"/>
          <w:sz w:val="20"/>
          <w:szCs w:val="20"/>
        </w:rPr>
        <w:t>.</w:t>
      </w:r>
    </w:p>
    <w:p w14:paraId="1903EDEA" w14:textId="77777777" w:rsidR="003C743B" w:rsidRPr="00042F16" w:rsidRDefault="003C743B" w:rsidP="00042F16">
      <w:pPr>
        <w:spacing w:after="0" w:line="240" w:lineRule="auto"/>
        <w:rPr>
          <w:rFonts w:ascii="Verdana" w:hAnsi="Verdana" w:cstheme="minorHAnsi"/>
          <w:sz w:val="20"/>
          <w:szCs w:val="20"/>
        </w:rPr>
      </w:pPr>
    </w:p>
    <w:p w14:paraId="7C9D6608" w14:textId="293E941C" w:rsidR="003679C4" w:rsidRPr="00042F16" w:rsidRDefault="003679C4" w:rsidP="00042F16">
      <w:pPr>
        <w:pStyle w:val="Subtitle"/>
        <w:spacing w:after="0"/>
        <w:rPr>
          <w:rFonts w:ascii="Verdana" w:hAnsi="Verdana" w:cstheme="minorHAnsi"/>
          <w:sz w:val="20"/>
          <w:szCs w:val="20"/>
        </w:rPr>
      </w:pPr>
      <w:r w:rsidRPr="00042F16">
        <w:rPr>
          <w:rFonts w:ascii="Verdana" w:hAnsi="Verdana" w:cstheme="minorHAnsi"/>
          <w:sz w:val="20"/>
          <w:szCs w:val="20"/>
        </w:rPr>
        <w:t>Internal Audit Function</w:t>
      </w:r>
    </w:p>
    <w:p w14:paraId="3016DCEF" w14:textId="77777777" w:rsidR="00042F16" w:rsidRDefault="00042F16" w:rsidP="00042F16">
      <w:pPr>
        <w:spacing w:after="0" w:line="240" w:lineRule="auto"/>
        <w:rPr>
          <w:rFonts w:ascii="Verdana" w:hAnsi="Verdana" w:cstheme="minorHAnsi"/>
          <w:sz w:val="20"/>
          <w:szCs w:val="20"/>
        </w:rPr>
      </w:pPr>
    </w:p>
    <w:p w14:paraId="0C9FAEAE" w14:textId="12AAB0DE" w:rsidR="008249FD" w:rsidRPr="00042F16" w:rsidRDefault="008249FD"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The mission of the Internal Audit is to examine and evaluate the effectiveness of the governance, risk management and control processes of </w:t>
      </w:r>
      <w:r w:rsidR="00E4026F" w:rsidRPr="00042F16">
        <w:rPr>
          <w:rFonts w:ascii="Verdana" w:hAnsi="Verdana" w:cstheme="minorHAnsi"/>
          <w:sz w:val="20"/>
          <w:szCs w:val="20"/>
        </w:rPr>
        <w:t>the Group</w:t>
      </w:r>
      <w:r w:rsidRPr="00042F16">
        <w:rPr>
          <w:rFonts w:ascii="Verdana" w:hAnsi="Verdana" w:cstheme="minorHAnsi"/>
          <w:sz w:val="20"/>
          <w:szCs w:val="20"/>
        </w:rPr>
        <w:t xml:space="preserve"> and recommend solutions for optimizing them in order to provide perceived added value.</w:t>
      </w:r>
    </w:p>
    <w:p w14:paraId="64FCF411" w14:textId="42E321EB" w:rsidR="008249FD" w:rsidRPr="00042F16" w:rsidRDefault="008249FD" w:rsidP="00042F16">
      <w:pPr>
        <w:spacing w:after="0" w:line="240" w:lineRule="auto"/>
        <w:rPr>
          <w:rFonts w:ascii="Verdana" w:hAnsi="Verdana" w:cstheme="minorHAnsi"/>
          <w:sz w:val="20"/>
          <w:szCs w:val="20"/>
        </w:rPr>
      </w:pPr>
      <w:r w:rsidRPr="00042F16">
        <w:rPr>
          <w:rFonts w:ascii="Verdana" w:hAnsi="Verdana" w:cstheme="minorHAnsi"/>
          <w:sz w:val="20"/>
          <w:szCs w:val="20"/>
        </w:rPr>
        <w:t>The objectives, powers, responsibilities, positioning within the organization, the modus operandi and the fundamental principles of the internal</w:t>
      </w:r>
      <w:r w:rsidR="00DF0FC6" w:rsidRPr="00042F16">
        <w:rPr>
          <w:rFonts w:ascii="Verdana" w:hAnsi="Verdana" w:cstheme="minorHAnsi"/>
          <w:sz w:val="20"/>
          <w:szCs w:val="20"/>
        </w:rPr>
        <w:t xml:space="preserve"> audit function are defined in t</w:t>
      </w:r>
      <w:r w:rsidRPr="00042F16">
        <w:rPr>
          <w:rFonts w:ascii="Verdana" w:hAnsi="Verdana" w:cstheme="minorHAnsi"/>
          <w:sz w:val="20"/>
          <w:szCs w:val="20"/>
        </w:rPr>
        <w:t xml:space="preserve">he </w:t>
      </w:r>
      <w:r w:rsidR="002F2ED1" w:rsidRPr="00042F16">
        <w:rPr>
          <w:rFonts w:ascii="Verdana" w:hAnsi="Verdana" w:cstheme="minorHAnsi"/>
          <w:sz w:val="20"/>
          <w:szCs w:val="20"/>
        </w:rPr>
        <w:t>Company’s</w:t>
      </w:r>
      <w:r w:rsidRPr="00042F16">
        <w:rPr>
          <w:rFonts w:ascii="Verdana" w:hAnsi="Verdana" w:cstheme="minorHAnsi"/>
          <w:sz w:val="20"/>
          <w:szCs w:val="20"/>
        </w:rPr>
        <w:t xml:space="preserve"> Internal Audit Charter.</w:t>
      </w:r>
    </w:p>
    <w:p w14:paraId="1B49FFA7" w14:textId="77777777" w:rsidR="00042F16" w:rsidRDefault="00042F16" w:rsidP="00042F16">
      <w:pPr>
        <w:spacing w:after="0" w:line="240" w:lineRule="auto"/>
        <w:rPr>
          <w:rFonts w:ascii="Verdana" w:hAnsi="Verdana" w:cstheme="minorHAnsi"/>
          <w:sz w:val="20"/>
          <w:szCs w:val="20"/>
        </w:rPr>
      </w:pPr>
    </w:p>
    <w:p w14:paraId="668F83E8" w14:textId="77777777" w:rsidR="00FE41F2" w:rsidRPr="00042F16" w:rsidRDefault="008249FD" w:rsidP="00042F16">
      <w:pPr>
        <w:spacing w:after="0" w:line="240" w:lineRule="auto"/>
        <w:rPr>
          <w:rFonts w:ascii="Verdana" w:hAnsi="Verdana" w:cstheme="minorHAnsi"/>
          <w:sz w:val="20"/>
          <w:szCs w:val="20"/>
        </w:rPr>
      </w:pPr>
      <w:r w:rsidRPr="00042F16">
        <w:rPr>
          <w:rFonts w:ascii="Verdana" w:hAnsi="Verdana" w:cstheme="minorHAnsi"/>
          <w:sz w:val="20"/>
          <w:szCs w:val="20"/>
        </w:rPr>
        <w:t>The purpose of Internal Audit is to provide reasonable assurance that:</w:t>
      </w:r>
    </w:p>
    <w:p w14:paraId="7E4FA3B7" w14:textId="0389F727" w:rsidR="008249FD" w:rsidRPr="00042F16" w:rsidRDefault="008249FD" w:rsidP="00042F16">
      <w:pPr>
        <w:pStyle w:val="ListParagraph"/>
        <w:numPr>
          <w:ilvl w:val="0"/>
          <w:numId w:val="37"/>
        </w:numPr>
        <w:spacing w:after="0" w:line="240" w:lineRule="auto"/>
        <w:rPr>
          <w:rFonts w:ascii="Verdana" w:hAnsi="Verdana" w:cstheme="minorHAnsi"/>
          <w:sz w:val="20"/>
          <w:szCs w:val="20"/>
        </w:rPr>
      </w:pPr>
      <w:r w:rsidRPr="00042F16">
        <w:rPr>
          <w:rFonts w:ascii="Verdana" w:hAnsi="Verdana" w:cstheme="minorHAnsi"/>
          <w:sz w:val="20"/>
          <w:szCs w:val="20"/>
        </w:rPr>
        <w:t xml:space="preserve">The objectives as defined by the </w:t>
      </w:r>
      <w:proofErr w:type="spellStart"/>
      <w:r w:rsidR="000C6BA5" w:rsidRPr="00042F16">
        <w:rPr>
          <w:rFonts w:ascii="Verdana" w:hAnsi="Verdana" w:cstheme="minorHAnsi"/>
          <w:sz w:val="20"/>
          <w:szCs w:val="20"/>
        </w:rPr>
        <w:t>BoD</w:t>
      </w:r>
      <w:proofErr w:type="spellEnd"/>
      <w:r w:rsidRPr="00042F16">
        <w:rPr>
          <w:rFonts w:ascii="Verdana" w:hAnsi="Verdana" w:cstheme="minorHAnsi"/>
          <w:sz w:val="20"/>
          <w:szCs w:val="20"/>
        </w:rPr>
        <w:t xml:space="preserve"> will be achieved;</w:t>
      </w:r>
    </w:p>
    <w:p w14:paraId="52F463AB" w14:textId="1C8B411E" w:rsidR="008249FD" w:rsidRPr="00042F16" w:rsidRDefault="008249FD"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Resources are used efficiently and effectively;</w:t>
      </w:r>
    </w:p>
    <w:p w14:paraId="27815BF1" w14:textId="38385F30" w:rsidR="008249FD" w:rsidRPr="00042F16" w:rsidRDefault="008249FD"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Risks are managed and the assets of the company are protected;</w:t>
      </w:r>
    </w:p>
    <w:p w14:paraId="54B351A2" w14:textId="0AACB668" w:rsidR="008249FD" w:rsidRPr="00042F16" w:rsidRDefault="008249FD" w:rsidP="00042F16">
      <w:pPr>
        <w:pStyle w:val="ListParagraph"/>
        <w:numPr>
          <w:ilvl w:val="0"/>
          <w:numId w:val="6"/>
        </w:numPr>
        <w:spacing w:after="0" w:line="240" w:lineRule="auto"/>
        <w:rPr>
          <w:rFonts w:ascii="Verdana" w:hAnsi="Verdana" w:cstheme="minorHAnsi"/>
          <w:sz w:val="20"/>
          <w:szCs w:val="20"/>
        </w:rPr>
      </w:pPr>
      <w:r w:rsidRPr="00042F16">
        <w:rPr>
          <w:rFonts w:ascii="Verdana" w:hAnsi="Verdana" w:cstheme="minorHAnsi"/>
          <w:sz w:val="20"/>
          <w:szCs w:val="20"/>
        </w:rPr>
        <w:t>Financial information and reporting is reliable and complete.</w:t>
      </w:r>
    </w:p>
    <w:p w14:paraId="00E163F7" w14:textId="77777777" w:rsidR="00042F16" w:rsidRDefault="00042F16" w:rsidP="00042F16">
      <w:pPr>
        <w:spacing w:after="0" w:line="240" w:lineRule="auto"/>
        <w:rPr>
          <w:rFonts w:ascii="Verdana" w:hAnsi="Verdana" w:cstheme="minorHAnsi"/>
          <w:sz w:val="20"/>
          <w:szCs w:val="20"/>
        </w:rPr>
      </w:pPr>
    </w:p>
    <w:p w14:paraId="564A06CD" w14:textId="06CD34A9" w:rsidR="00E4026F" w:rsidRPr="00042F16" w:rsidRDefault="00E4026F"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Philippe </w:t>
      </w:r>
      <w:proofErr w:type="spellStart"/>
      <w:r w:rsidRPr="00042F16">
        <w:rPr>
          <w:rFonts w:ascii="Verdana" w:hAnsi="Verdana" w:cstheme="minorHAnsi"/>
          <w:sz w:val="20"/>
          <w:szCs w:val="20"/>
        </w:rPr>
        <w:t>Corbeel</w:t>
      </w:r>
      <w:proofErr w:type="spellEnd"/>
      <w:r w:rsidRPr="00042F16">
        <w:rPr>
          <w:rFonts w:ascii="Verdana" w:hAnsi="Verdana" w:cstheme="minorHAnsi"/>
          <w:sz w:val="20"/>
          <w:szCs w:val="20"/>
        </w:rPr>
        <w:t xml:space="preserve"> acts as H</w:t>
      </w:r>
      <w:r w:rsidR="00DF0FC6" w:rsidRPr="00042F16">
        <w:rPr>
          <w:rFonts w:ascii="Verdana" w:hAnsi="Verdana" w:cstheme="minorHAnsi"/>
          <w:sz w:val="20"/>
          <w:szCs w:val="20"/>
        </w:rPr>
        <w:t>ead of Internal Auditor within t</w:t>
      </w:r>
      <w:r w:rsidRPr="00042F16">
        <w:rPr>
          <w:rFonts w:ascii="Verdana" w:hAnsi="Verdana" w:cstheme="minorHAnsi"/>
          <w:sz w:val="20"/>
          <w:szCs w:val="20"/>
        </w:rPr>
        <w:t>he Company.</w:t>
      </w:r>
    </w:p>
    <w:p w14:paraId="70902D2B" w14:textId="77777777" w:rsidR="00F71FFD" w:rsidRPr="00042F16" w:rsidRDefault="00F71FFD" w:rsidP="00042F16">
      <w:pPr>
        <w:pStyle w:val="Subtitle"/>
        <w:spacing w:after="0"/>
        <w:rPr>
          <w:rFonts w:ascii="Verdana" w:hAnsi="Verdana" w:cstheme="minorHAnsi"/>
          <w:sz w:val="20"/>
          <w:szCs w:val="20"/>
        </w:rPr>
      </w:pPr>
    </w:p>
    <w:p w14:paraId="05677264" w14:textId="5E583139" w:rsidR="00A15EB1" w:rsidRPr="00042F16" w:rsidRDefault="00A15EB1" w:rsidP="00042F16">
      <w:pPr>
        <w:pStyle w:val="Subtitle"/>
        <w:spacing w:after="0"/>
        <w:rPr>
          <w:rFonts w:ascii="Verdana" w:hAnsi="Verdana" w:cstheme="minorHAnsi"/>
          <w:sz w:val="20"/>
          <w:szCs w:val="20"/>
        </w:rPr>
      </w:pPr>
      <w:r w:rsidRPr="00042F16">
        <w:rPr>
          <w:rFonts w:ascii="Verdana" w:hAnsi="Verdana" w:cstheme="minorHAnsi"/>
          <w:sz w:val="20"/>
          <w:szCs w:val="20"/>
        </w:rPr>
        <w:t>Compliance Function</w:t>
      </w:r>
    </w:p>
    <w:p w14:paraId="782685F3" w14:textId="77777777" w:rsidR="00042F16" w:rsidRDefault="00042F16" w:rsidP="00042F16">
      <w:pPr>
        <w:spacing w:after="0" w:line="240" w:lineRule="auto"/>
        <w:rPr>
          <w:rFonts w:ascii="Verdana" w:hAnsi="Verdana" w:cstheme="minorHAnsi"/>
          <w:sz w:val="20"/>
          <w:szCs w:val="20"/>
        </w:rPr>
      </w:pPr>
    </w:p>
    <w:p w14:paraId="456340A9" w14:textId="29825DDC" w:rsidR="002D7A2F" w:rsidRPr="00042F16" w:rsidRDefault="009863EE"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The Compliance function is performed by </w:t>
      </w:r>
      <w:r w:rsidR="00FE4F0E" w:rsidRPr="00042F16">
        <w:rPr>
          <w:rFonts w:ascii="Verdana" w:hAnsi="Verdana" w:cstheme="minorHAnsi"/>
          <w:sz w:val="20"/>
          <w:szCs w:val="20"/>
        </w:rPr>
        <w:t xml:space="preserve">Herman </w:t>
      </w:r>
      <w:proofErr w:type="spellStart"/>
      <w:r w:rsidR="00FE4F0E" w:rsidRPr="00042F16">
        <w:rPr>
          <w:rFonts w:ascii="Verdana" w:hAnsi="Verdana" w:cstheme="minorHAnsi"/>
          <w:sz w:val="20"/>
          <w:szCs w:val="20"/>
        </w:rPr>
        <w:t>Coppens</w:t>
      </w:r>
      <w:proofErr w:type="spellEnd"/>
      <w:r w:rsidR="00FE4F0E" w:rsidRPr="00042F16">
        <w:rPr>
          <w:rFonts w:ascii="Verdana" w:hAnsi="Verdana" w:cstheme="minorHAnsi"/>
          <w:sz w:val="20"/>
          <w:szCs w:val="20"/>
        </w:rPr>
        <w:t xml:space="preserve">, </w:t>
      </w:r>
      <w:r w:rsidRPr="00042F16">
        <w:rPr>
          <w:rFonts w:ascii="Verdana" w:hAnsi="Verdana" w:cstheme="minorHAnsi"/>
          <w:sz w:val="20"/>
          <w:szCs w:val="20"/>
        </w:rPr>
        <w:t>Chief Compliance Officers</w:t>
      </w:r>
      <w:r w:rsidR="00DF0FC6" w:rsidRPr="00042F16">
        <w:rPr>
          <w:rFonts w:ascii="Verdana" w:hAnsi="Verdana" w:cstheme="minorHAnsi"/>
          <w:sz w:val="20"/>
          <w:szCs w:val="20"/>
        </w:rPr>
        <w:t xml:space="preserve"> of t</w:t>
      </w:r>
      <w:r w:rsidR="00FE4F0E" w:rsidRPr="00042F16">
        <w:rPr>
          <w:rFonts w:ascii="Verdana" w:hAnsi="Verdana" w:cstheme="minorHAnsi"/>
          <w:sz w:val="20"/>
          <w:szCs w:val="20"/>
        </w:rPr>
        <w:t xml:space="preserve">he Company who coordinates Compliance </w:t>
      </w:r>
      <w:r w:rsidR="003C743B" w:rsidRPr="00042F16">
        <w:rPr>
          <w:rFonts w:ascii="Verdana" w:hAnsi="Verdana" w:cstheme="minorHAnsi"/>
          <w:sz w:val="20"/>
          <w:szCs w:val="20"/>
        </w:rPr>
        <w:t>with</w:t>
      </w:r>
      <w:r w:rsidR="00E4026F" w:rsidRPr="00042F16">
        <w:rPr>
          <w:rFonts w:ascii="Verdana" w:hAnsi="Verdana" w:cstheme="minorHAnsi"/>
          <w:sz w:val="20"/>
          <w:szCs w:val="20"/>
        </w:rPr>
        <w:t>in the Group</w:t>
      </w:r>
      <w:r w:rsidR="00FE4F0E" w:rsidRPr="00042F16">
        <w:rPr>
          <w:rFonts w:ascii="Verdana" w:hAnsi="Verdana" w:cstheme="minorHAnsi"/>
          <w:sz w:val="20"/>
          <w:szCs w:val="20"/>
        </w:rPr>
        <w:t>.</w:t>
      </w:r>
    </w:p>
    <w:p w14:paraId="39E0D260" w14:textId="77777777" w:rsidR="00563B2C" w:rsidRDefault="00563B2C" w:rsidP="00042F16">
      <w:pPr>
        <w:spacing w:after="0" w:line="240" w:lineRule="auto"/>
        <w:rPr>
          <w:rFonts w:ascii="Verdana" w:hAnsi="Verdana" w:cstheme="minorHAnsi"/>
          <w:sz w:val="20"/>
          <w:szCs w:val="20"/>
        </w:rPr>
      </w:pPr>
    </w:p>
    <w:p w14:paraId="1DC8CDEC" w14:textId="77777777" w:rsidR="00810845" w:rsidRPr="0065464B" w:rsidRDefault="00810845" w:rsidP="00810845">
      <w:pPr>
        <w:rPr>
          <w:rFonts w:ascii="Verdana" w:hAnsi="Verdana" w:cstheme="minorHAnsi"/>
          <w:sz w:val="20"/>
          <w:szCs w:val="20"/>
        </w:rPr>
      </w:pPr>
      <w:r w:rsidRPr="0065464B">
        <w:rPr>
          <w:rFonts w:ascii="Verdana" w:hAnsi="Verdana" w:cstheme="minorHAnsi"/>
          <w:sz w:val="20"/>
          <w:szCs w:val="20"/>
        </w:rPr>
        <w:t xml:space="preserve">Emilie van </w:t>
      </w:r>
      <w:proofErr w:type="spellStart"/>
      <w:r w:rsidRPr="0065464B">
        <w:rPr>
          <w:rFonts w:ascii="Verdana" w:hAnsi="Verdana" w:cstheme="minorHAnsi"/>
          <w:sz w:val="20"/>
          <w:szCs w:val="20"/>
        </w:rPr>
        <w:t>Eyll</w:t>
      </w:r>
      <w:proofErr w:type="spellEnd"/>
      <w:r w:rsidRPr="0065464B">
        <w:rPr>
          <w:rFonts w:ascii="Verdana" w:hAnsi="Verdana" w:cstheme="minorHAnsi"/>
          <w:sz w:val="20"/>
          <w:szCs w:val="20"/>
        </w:rPr>
        <w:t xml:space="preserve"> is in charge as Compliance Officer for </w:t>
      </w:r>
      <w:proofErr w:type="spellStart"/>
      <w:r w:rsidRPr="0065464B">
        <w:rPr>
          <w:rFonts w:ascii="Verdana" w:hAnsi="Verdana" w:cstheme="minorHAnsi"/>
          <w:sz w:val="20"/>
          <w:szCs w:val="20"/>
        </w:rPr>
        <w:t>CapitalatWork</w:t>
      </w:r>
      <w:proofErr w:type="spellEnd"/>
      <w:r w:rsidRPr="0065464B">
        <w:rPr>
          <w:rFonts w:ascii="Verdana" w:hAnsi="Verdana" w:cstheme="minorHAnsi"/>
          <w:sz w:val="20"/>
          <w:szCs w:val="20"/>
        </w:rPr>
        <w:t xml:space="preserve"> S.A.</w:t>
      </w:r>
    </w:p>
    <w:p w14:paraId="3B908D82" w14:textId="77777777" w:rsidR="00810845" w:rsidRPr="0065464B" w:rsidRDefault="00810845" w:rsidP="00810845">
      <w:pPr>
        <w:rPr>
          <w:rFonts w:ascii="Verdana" w:hAnsi="Verdana" w:cstheme="minorHAnsi"/>
          <w:sz w:val="20"/>
          <w:szCs w:val="20"/>
        </w:rPr>
      </w:pPr>
      <w:proofErr w:type="spellStart"/>
      <w:r w:rsidRPr="0065464B">
        <w:rPr>
          <w:rFonts w:ascii="Verdana" w:hAnsi="Verdana" w:cstheme="minorHAnsi"/>
          <w:sz w:val="20"/>
          <w:szCs w:val="20"/>
        </w:rPr>
        <w:t>Mr.</w:t>
      </w:r>
      <w:proofErr w:type="spellEnd"/>
      <w:r w:rsidRPr="0065464B">
        <w:rPr>
          <w:rFonts w:ascii="Verdana" w:hAnsi="Verdana" w:cstheme="minorHAnsi"/>
          <w:sz w:val="20"/>
          <w:szCs w:val="20"/>
        </w:rPr>
        <w:t xml:space="preserve"> Robert </w:t>
      </w:r>
      <w:proofErr w:type="spellStart"/>
      <w:r w:rsidRPr="0065464B">
        <w:rPr>
          <w:rFonts w:ascii="Verdana" w:hAnsi="Verdana" w:cstheme="minorHAnsi"/>
          <w:sz w:val="20"/>
          <w:szCs w:val="20"/>
        </w:rPr>
        <w:t>Pegels</w:t>
      </w:r>
      <w:proofErr w:type="spellEnd"/>
      <w:r w:rsidRPr="0065464B">
        <w:rPr>
          <w:rFonts w:ascii="Verdana" w:hAnsi="Verdana" w:cstheme="minorHAnsi"/>
          <w:sz w:val="20"/>
          <w:szCs w:val="20"/>
        </w:rPr>
        <w:t xml:space="preserve">, executive director of </w:t>
      </w:r>
      <w:proofErr w:type="spellStart"/>
      <w:r w:rsidRPr="0065464B">
        <w:rPr>
          <w:rFonts w:ascii="Verdana" w:hAnsi="Verdana" w:cstheme="minorHAnsi"/>
          <w:sz w:val="20"/>
          <w:szCs w:val="20"/>
        </w:rPr>
        <w:t>CapitalatWork</w:t>
      </w:r>
      <w:proofErr w:type="spellEnd"/>
      <w:r w:rsidRPr="0065464B">
        <w:rPr>
          <w:rFonts w:ascii="Verdana" w:hAnsi="Verdana" w:cstheme="minorHAnsi"/>
          <w:sz w:val="20"/>
          <w:szCs w:val="20"/>
        </w:rPr>
        <w:t xml:space="preserve"> S.A., is within the EC responsible for compliance in </w:t>
      </w:r>
      <w:proofErr w:type="spellStart"/>
      <w:r w:rsidRPr="0065464B">
        <w:rPr>
          <w:rFonts w:ascii="Verdana" w:hAnsi="Verdana" w:cstheme="minorHAnsi"/>
          <w:sz w:val="20"/>
          <w:szCs w:val="20"/>
        </w:rPr>
        <w:t>CapiatatWork</w:t>
      </w:r>
      <w:proofErr w:type="spellEnd"/>
      <w:r w:rsidRPr="0065464B">
        <w:rPr>
          <w:rFonts w:ascii="Verdana" w:hAnsi="Verdana" w:cstheme="minorHAnsi"/>
          <w:sz w:val="20"/>
          <w:szCs w:val="20"/>
        </w:rPr>
        <w:t xml:space="preserve"> S.A. and the Company.</w:t>
      </w:r>
    </w:p>
    <w:p w14:paraId="54DC1CCE" w14:textId="70BF2275" w:rsidR="00042F16" w:rsidRDefault="00810845" w:rsidP="00810845">
      <w:pPr>
        <w:rPr>
          <w:rFonts w:ascii="Verdana" w:hAnsi="Verdana" w:cstheme="minorHAnsi"/>
          <w:sz w:val="20"/>
          <w:szCs w:val="20"/>
        </w:rPr>
      </w:pPr>
      <w:r w:rsidRPr="0065464B">
        <w:rPr>
          <w:rFonts w:ascii="Verdana" w:hAnsi="Verdana" w:cstheme="minorHAnsi"/>
          <w:sz w:val="20"/>
          <w:szCs w:val="20"/>
        </w:rPr>
        <w:t>The Compliance activity is subject to the principles set out in the compliance charter of the Company.</w:t>
      </w:r>
    </w:p>
    <w:p w14:paraId="6F9BDD16" w14:textId="5084D126" w:rsidR="000004E1" w:rsidRPr="00042F16" w:rsidRDefault="009863EE" w:rsidP="00042F16">
      <w:pPr>
        <w:spacing w:after="0" w:line="240" w:lineRule="auto"/>
        <w:rPr>
          <w:rFonts w:ascii="Verdana" w:hAnsi="Verdana" w:cstheme="minorHAnsi"/>
          <w:sz w:val="20"/>
          <w:szCs w:val="20"/>
        </w:rPr>
      </w:pPr>
      <w:r w:rsidRPr="00042F16">
        <w:rPr>
          <w:rFonts w:ascii="Verdana" w:hAnsi="Verdana" w:cstheme="minorHAnsi"/>
          <w:sz w:val="20"/>
          <w:szCs w:val="20"/>
        </w:rPr>
        <w:t>The Co</w:t>
      </w:r>
      <w:r w:rsidR="002241F8" w:rsidRPr="00042F16">
        <w:rPr>
          <w:rFonts w:ascii="Verdana" w:hAnsi="Verdana" w:cstheme="minorHAnsi"/>
          <w:sz w:val="20"/>
          <w:szCs w:val="20"/>
        </w:rPr>
        <w:t>mpliance function has an organis</w:t>
      </w:r>
      <w:r w:rsidRPr="00042F16">
        <w:rPr>
          <w:rFonts w:ascii="Verdana" w:hAnsi="Verdana" w:cstheme="minorHAnsi"/>
          <w:sz w:val="20"/>
          <w:szCs w:val="20"/>
        </w:rPr>
        <w:t xml:space="preserve">ational, coordination and </w:t>
      </w:r>
      <w:r w:rsidR="000004E1" w:rsidRPr="00042F16">
        <w:rPr>
          <w:rFonts w:ascii="Verdana" w:hAnsi="Verdana" w:cstheme="minorHAnsi"/>
          <w:sz w:val="20"/>
          <w:szCs w:val="20"/>
        </w:rPr>
        <w:t xml:space="preserve">monitoring </w:t>
      </w:r>
      <w:r w:rsidRPr="00042F16">
        <w:rPr>
          <w:rFonts w:ascii="Verdana" w:hAnsi="Verdana" w:cstheme="minorHAnsi"/>
          <w:sz w:val="20"/>
          <w:szCs w:val="20"/>
        </w:rPr>
        <w:t>function.</w:t>
      </w:r>
      <w:r w:rsidR="000004E1" w:rsidRPr="00042F16">
        <w:rPr>
          <w:rFonts w:ascii="Verdana" w:hAnsi="Verdana" w:cstheme="minorHAnsi"/>
          <w:sz w:val="20"/>
          <w:szCs w:val="20"/>
        </w:rPr>
        <w:t xml:space="preserve"> </w:t>
      </w:r>
    </w:p>
    <w:p w14:paraId="1258828A" w14:textId="77777777" w:rsidR="00A52457" w:rsidRPr="00042F16" w:rsidRDefault="00A52457" w:rsidP="00042F16">
      <w:pPr>
        <w:spacing w:after="0" w:line="240" w:lineRule="auto"/>
        <w:rPr>
          <w:rFonts w:ascii="Verdana" w:hAnsi="Verdana" w:cstheme="minorHAnsi"/>
          <w:sz w:val="20"/>
          <w:szCs w:val="20"/>
        </w:rPr>
      </w:pPr>
    </w:p>
    <w:p w14:paraId="6D312631" w14:textId="0BBD516A" w:rsidR="000004E1" w:rsidRPr="00042F16" w:rsidRDefault="000004E1" w:rsidP="00042F16">
      <w:pPr>
        <w:spacing w:after="0" w:line="240" w:lineRule="auto"/>
        <w:rPr>
          <w:rFonts w:ascii="Verdana" w:hAnsi="Verdana" w:cstheme="minorHAnsi"/>
          <w:sz w:val="20"/>
          <w:szCs w:val="20"/>
        </w:rPr>
      </w:pPr>
      <w:r w:rsidRPr="00042F16">
        <w:rPr>
          <w:rFonts w:ascii="Verdana" w:hAnsi="Verdana" w:cstheme="minorHAnsi"/>
          <w:sz w:val="20"/>
          <w:szCs w:val="20"/>
        </w:rPr>
        <w:t>The main missions are:</w:t>
      </w:r>
    </w:p>
    <w:p w14:paraId="1193100D" w14:textId="77777777" w:rsidR="000004E1" w:rsidRPr="00042F16" w:rsidRDefault="000004E1" w:rsidP="00042F16">
      <w:pPr>
        <w:pStyle w:val="ListParagraph"/>
        <w:numPr>
          <w:ilvl w:val="0"/>
          <w:numId w:val="36"/>
        </w:numPr>
        <w:spacing w:after="0" w:line="240" w:lineRule="auto"/>
        <w:ind w:left="426" w:hanging="426"/>
        <w:rPr>
          <w:rFonts w:ascii="Verdana" w:hAnsi="Verdana" w:cstheme="minorHAnsi"/>
          <w:sz w:val="20"/>
          <w:szCs w:val="20"/>
        </w:rPr>
      </w:pPr>
      <w:r w:rsidRPr="00042F16">
        <w:rPr>
          <w:rFonts w:ascii="Verdana" w:hAnsi="Verdana" w:cstheme="minorHAnsi"/>
          <w:sz w:val="20"/>
          <w:szCs w:val="20"/>
        </w:rPr>
        <w:t>Anticipation, detection and risk assessment Compliance; and,</w:t>
      </w:r>
    </w:p>
    <w:p w14:paraId="51DB8C14" w14:textId="107A740E" w:rsidR="000004E1" w:rsidRPr="00042F16" w:rsidRDefault="000C6BA5" w:rsidP="00042F16">
      <w:pPr>
        <w:pStyle w:val="ListParagraph"/>
        <w:numPr>
          <w:ilvl w:val="0"/>
          <w:numId w:val="36"/>
        </w:numPr>
        <w:spacing w:after="0" w:line="240" w:lineRule="auto"/>
        <w:ind w:left="426" w:hanging="426"/>
        <w:rPr>
          <w:rFonts w:ascii="Verdana" w:hAnsi="Verdana" w:cstheme="minorHAnsi"/>
          <w:sz w:val="20"/>
          <w:szCs w:val="20"/>
        </w:rPr>
      </w:pPr>
      <w:r w:rsidRPr="00042F16">
        <w:rPr>
          <w:rFonts w:ascii="Verdana" w:hAnsi="Verdana" w:cstheme="minorHAnsi"/>
          <w:sz w:val="20"/>
          <w:szCs w:val="20"/>
        </w:rPr>
        <w:t>Assistance</w:t>
      </w:r>
      <w:r w:rsidR="000004E1" w:rsidRPr="00042F16">
        <w:rPr>
          <w:rFonts w:ascii="Verdana" w:hAnsi="Verdana" w:cstheme="minorHAnsi"/>
          <w:sz w:val="20"/>
          <w:szCs w:val="20"/>
        </w:rPr>
        <w:t xml:space="preserve"> in controlling these risks.</w:t>
      </w:r>
    </w:p>
    <w:p w14:paraId="717CDA3F" w14:textId="77777777" w:rsidR="003C743B" w:rsidRPr="00042F16" w:rsidRDefault="003C743B" w:rsidP="00042F16">
      <w:pPr>
        <w:spacing w:after="0" w:line="240" w:lineRule="auto"/>
        <w:rPr>
          <w:rFonts w:ascii="Verdana" w:hAnsi="Verdana" w:cstheme="minorHAnsi"/>
          <w:sz w:val="20"/>
          <w:szCs w:val="20"/>
        </w:rPr>
      </w:pPr>
    </w:p>
    <w:p w14:paraId="18C5C9FE" w14:textId="77777777" w:rsidR="000004E1" w:rsidRPr="00042F16" w:rsidRDefault="000004E1"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To execute this mission, Compliance function designs policies to meet the requirements of regulatory authorities and oversees their application. The implemented policies relate to </w:t>
      </w:r>
      <w:proofErr w:type="spellStart"/>
      <w:r w:rsidRPr="00042F16">
        <w:rPr>
          <w:rFonts w:ascii="Verdana" w:hAnsi="Verdana" w:cstheme="minorHAnsi"/>
          <w:sz w:val="20"/>
          <w:szCs w:val="20"/>
        </w:rPr>
        <w:t>a.o.</w:t>
      </w:r>
      <w:proofErr w:type="spellEnd"/>
      <w:r w:rsidRPr="00042F16">
        <w:rPr>
          <w:rFonts w:ascii="Verdana" w:hAnsi="Verdana" w:cstheme="minorHAnsi"/>
          <w:sz w:val="20"/>
          <w:szCs w:val="20"/>
        </w:rPr>
        <w:t xml:space="preserve"> the anti-money laundering, counter terrorist financing, the fight against market abuse, the protection of investors.</w:t>
      </w:r>
    </w:p>
    <w:p w14:paraId="5DCDA915" w14:textId="77777777" w:rsidR="003C743B" w:rsidRPr="00042F16" w:rsidRDefault="003C743B" w:rsidP="00042F16">
      <w:pPr>
        <w:spacing w:after="0" w:line="240" w:lineRule="auto"/>
        <w:rPr>
          <w:rFonts w:ascii="Verdana" w:hAnsi="Verdana" w:cstheme="minorHAnsi"/>
          <w:sz w:val="20"/>
          <w:szCs w:val="20"/>
        </w:rPr>
      </w:pPr>
    </w:p>
    <w:p w14:paraId="31533E9B" w14:textId="77777777" w:rsidR="000917C2" w:rsidRPr="00042F16" w:rsidRDefault="000004E1" w:rsidP="00042F16">
      <w:pPr>
        <w:spacing w:after="0" w:line="240" w:lineRule="auto"/>
        <w:rPr>
          <w:rFonts w:ascii="Verdana" w:hAnsi="Verdana" w:cstheme="minorHAnsi"/>
          <w:sz w:val="20"/>
          <w:szCs w:val="20"/>
        </w:rPr>
      </w:pPr>
      <w:r w:rsidRPr="00042F16">
        <w:rPr>
          <w:rFonts w:ascii="Verdana" w:hAnsi="Verdana" w:cstheme="minorHAnsi"/>
          <w:sz w:val="20"/>
          <w:szCs w:val="20"/>
        </w:rPr>
        <w:t xml:space="preserve">The Compliance function regularly </w:t>
      </w:r>
      <w:r w:rsidR="000C6BA5" w:rsidRPr="00042F16">
        <w:rPr>
          <w:rFonts w:ascii="Verdana" w:hAnsi="Verdana" w:cstheme="minorHAnsi"/>
          <w:sz w:val="20"/>
          <w:szCs w:val="20"/>
        </w:rPr>
        <w:t>monitors the correct application of the Compliance policies</w:t>
      </w:r>
      <w:r w:rsidRPr="00042F16">
        <w:rPr>
          <w:rFonts w:ascii="Verdana" w:hAnsi="Verdana" w:cstheme="minorHAnsi"/>
          <w:sz w:val="20"/>
          <w:szCs w:val="20"/>
        </w:rPr>
        <w:t xml:space="preserve"> and procedures. These monitoring takes the form of regular assessments and controls of compliance risk.</w:t>
      </w:r>
    </w:p>
    <w:p w14:paraId="106F7027" w14:textId="77777777" w:rsidR="000917C2" w:rsidRPr="00042F16" w:rsidRDefault="000917C2" w:rsidP="00042F16">
      <w:pPr>
        <w:spacing w:after="0" w:line="240" w:lineRule="auto"/>
        <w:rPr>
          <w:rFonts w:ascii="Verdana" w:hAnsi="Verdana" w:cstheme="minorHAnsi"/>
          <w:sz w:val="20"/>
          <w:szCs w:val="20"/>
        </w:rPr>
      </w:pPr>
    </w:p>
    <w:p w14:paraId="37BECB86" w14:textId="4C5D332C" w:rsidR="009863EE" w:rsidRPr="00042F16" w:rsidRDefault="000004E1" w:rsidP="00042F16">
      <w:pPr>
        <w:spacing w:after="0" w:line="240" w:lineRule="auto"/>
        <w:rPr>
          <w:rFonts w:ascii="Verdana" w:hAnsi="Verdana" w:cstheme="minorHAnsi"/>
          <w:sz w:val="20"/>
          <w:szCs w:val="20"/>
        </w:rPr>
      </w:pPr>
      <w:r w:rsidRPr="00042F16">
        <w:rPr>
          <w:rFonts w:ascii="Verdana" w:hAnsi="Verdana" w:cstheme="minorHAnsi"/>
          <w:sz w:val="20"/>
          <w:szCs w:val="20"/>
        </w:rPr>
        <w:lastRenderedPageBreak/>
        <w:t>Compliance function</w:t>
      </w:r>
      <w:r w:rsidR="009863EE" w:rsidRPr="00042F16">
        <w:rPr>
          <w:rFonts w:ascii="Verdana" w:hAnsi="Verdana" w:cstheme="minorHAnsi"/>
          <w:sz w:val="20"/>
          <w:szCs w:val="20"/>
        </w:rPr>
        <w:t xml:space="preserve"> assists </w:t>
      </w:r>
      <w:r w:rsidRPr="00042F16">
        <w:rPr>
          <w:rFonts w:ascii="Verdana" w:hAnsi="Verdana" w:cstheme="minorHAnsi"/>
          <w:sz w:val="20"/>
          <w:szCs w:val="20"/>
        </w:rPr>
        <w:t xml:space="preserve">and advises </w:t>
      </w:r>
      <w:r w:rsidR="009863EE" w:rsidRPr="00042F16">
        <w:rPr>
          <w:rFonts w:ascii="Verdana" w:hAnsi="Verdana" w:cstheme="minorHAnsi"/>
          <w:sz w:val="20"/>
          <w:szCs w:val="20"/>
        </w:rPr>
        <w:t xml:space="preserve">the </w:t>
      </w:r>
      <w:r w:rsidR="002F6439" w:rsidRPr="00042F16">
        <w:rPr>
          <w:rFonts w:ascii="Verdana" w:hAnsi="Verdana" w:cstheme="minorHAnsi"/>
          <w:sz w:val="20"/>
          <w:szCs w:val="20"/>
        </w:rPr>
        <w:t>EC</w:t>
      </w:r>
      <w:r w:rsidR="009863EE" w:rsidRPr="00042F16">
        <w:rPr>
          <w:rFonts w:ascii="Verdana" w:hAnsi="Verdana" w:cstheme="minorHAnsi"/>
          <w:sz w:val="20"/>
          <w:szCs w:val="20"/>
        </w:rPr>
        <w:t xml:space="preserve"> </w:t>
      </w:r>
      <w:r w:rsidRPr="00042F16">
        <w:rPr>
          <w:rFonts w:ascii="Verdana" w:hAnsi="Verdana" w:cstheme="minorHAnsi"/>
          <w:sz w:val="20"/>
          <w:szCs w:val="20"/>
        </w:rPr>
        <w:t>of</w:t>
      </w:r>
      <w:r w:rsidR="009863EE" w:rsidRPr="00042F16">
        <w:rPr>
          <w:rFonts w:ascii="Verdana" w:hAnsi="Verdana" w:cstheme="minorHAnsi"/>
          <w:sz w:val="20"/>
          <w:szCs w:val="20"/>
        </w:rPr>
        <w:t xml:space="preserve"> </w:t>
      </w:r>
      <w:r w:rsidR="00DF0FC6" w:rsidRPr="00042F16">
        <w:rPr>
          <w:rFonts w:ascii="Verdana" w:hAnsi="Verdana" w:cstheme="minorHAnsi"/>
          <w:sz w:val="20"/>
          <w:szCs w:val="20"/>
        </w:rPr>
        <w:t>t</w:t>
      </w:r>
      <w:r w:rsidR="00FE4F0E" w:rsidRPr="00042F16">
        <w:rPr>
          <w:rFonts w:ascii="Verdana" w:hAnsi="Verdana" w:cstheme="minorHAnsi"/>
          <w:sz w:val="20"/>
          <w:szCs w:val="20"/>
        </w:rPr>
        <w:t xml:space="preserve">he </w:t>
      </w:r>
      <w:r w:rsidR="009863EE" w:rsidRPr="00042F16">
        <w:rPr>
          <w:rFonts w:ascii="Verdana" w:hAnsi="Verdana" w:cstheme="minorHAnsi"/>
          <w:sz w:val="20"/>
          <w:szCs w:val="20"/>
        </w:rPr>
        <w:t xml:space="preserve">Company </w:t>
      </w:r>
      <w:r w:rsidRPr="00042F16">
        <w:rPr>
          <w:rFonts w:ascii="Verdana" w:hAnsi="Verdana" w:cstheme="minorHAnsi"/>
          <w:sz w:val="20"/>
          <w:szCs w:val="20"/>
        </w:rPr>
        <w:t xml:space="preserve">on the application of current and future standards </w:t>
      </w:r>
      <w:r w:rsidR="009863EE" w:rsidRPr="00042F16">
        <w:rPr>
          <w:rFonts w:ascii="Verdana" w:hAnsi="Verdana" w:cstheme="minorHAnsi"/>
          <w:sz w:val="20"/>
          <w:szCs w:val="20"/>
        </w:rPr>
        <w:t>and informs</w:t>
      </w:r>
      <w:r w:rsidRPr="00042F16">
        <w:rPr>
          <w:rFonts w:ascii="Verdana" w:hAnsi="Verdana" w:cstheme="minorHAnsi"/>
          <w:sz w:val="20"/>
          <w:szCs w:val="20"/>
        </w:rPr>
        <w:t>/trains</w:t>
      </w:r>
      <w:r w:rsidR="009863EE" w:rsidRPr="00042F16">
        <w:rPr>
          <w:rFonts w:ascii="Verdana" w:hAnsi="Verdana" w:cstheme="minorHAnsi"/>
          <w:sz w:val="20"/>
          <w:szCs w:val="20"/>
        </w:rPr>
        <w:t xml:space="preserve"> employees and other departments </w:t>
      </w:r>
      <w:r w:rsidR="000C6BA5" w:rsidRPr="00042F16">
        <w:rPr>
          <w:rFonts w:ascii="Verdana" w:hAnsi="Verdana" w:cstheme="minorHAnsi"/>
          <w:sz w:val="20"/>
          <w:szCs w:val="20"/>
        </w:rPr>
        <w:t xml:space="preserve">on </w:t>
      </w:r>
      <w:r w:rsidR="009863EE" w:rsidRPr="00042F16">
        <w:rPr>
          <w:rFonts w:ascii="Verdana" w:hAnsi="Verdana" w:cstheme="minorHAnsi"/>
          <w:sz w:val="20"/>
          <w:szCs w:val="20"/>
        </w:rPr>
        <w:t xml:space="preserve">the </w:t>
      </w:r>
      <w:r w:rsidRPr="00042F16">
        <w:rPr>
          <w:rFonts w:ascii="Verdana" w:hAnsi="Verdana" w:cstheme="minorHAnsi"/>
          <w:sz w:val="20"/>
          <w:szCs w:val="20"/>
        </w:rPr>
        <w:t xml:space="preserve">development </w:t>
      </w:r>
      <w:r w:rsidR="00B225C9" w:rsidRPr="00042F16">
        <w:rPr>
          <w:rFonts w:ascii="Verdana" w:hAnsi="Verdana" w:cstheme="minorHAnsi"/>
          <w:sz w:val="20"/>
          <w:szCs w:val="20"/>
        </w:rPr>
        <w:t>of regulations and policies</w:t>
      </w:r>
      <w:r w:rsidR="009863EE" w:rsidRPr="00042F16">
        <w:rPr>
          <w:rFonts w:ascii="Verdana" w:hAnsi="Verdana" w:cstheme="minorHAnsi"/>
          <w:sz w:val="20"/>
          <w:szCs w:val="20"/>
        </w:rPr>
        <w:t xml:space="preserve">. </w:t>
      </w:r>
    </w:p>
    <w:p w14:paraId="6AB3BBE2" w14:textId="072982C2" w:rsidR="00B225C9" w:rsidRPr="00042F16" w:rsidRDefault="00B225C9" w:rsidP="00042F16">
      <w:pPr>
        <w:spacing w:after="0" w:line="240" w:lineRule="auto"/>
        <w:rPr>
          <w:rFonts w:ascii="Verdana" w:hAnsi="Verdana"/>
          <w:sz w:val="20"/>
          <w:szCs w:val="20"/>
        </w:rPr>
      </w:pPr>
      <w:r w:rsidRPr="00042F16">
        <w:rPr>
          <w:rFonts w:ascii="Verdana" w:hAnsi="Verdana"/>
          <w:sz w:val="20"/>
          <w:szCs w:val="20"/>
        </w:rPr>
        <w:t xml:space="preserve">The Compliance function is involved in internal governance, under the responsibility of the </w:t>
      </w:r>
      <w:proofErr w:type="spellStart"/>
      <w:r w:rsidRPr="00042F16">
        <w:rPr>
          <w:rFonts w:ascii="Verdana" w:hAnsi="Verdana"/>
          <w:sz w:val="20"/>
          <w:szCs w:val="20"/>
        </w:rPr>
        <w:t>BoD</w:t>
      </w:r>
      <w:proofErr w:type="spellEnd"/>
      <w:r w:rsidRPr="00042F16">
        <w:rPr>
          <w:rFonts w:ascii="Verdana" w:hAnsi="Verdana"/>
          <w:sz w:val="20"/>
          <w:szCs w:val="20"/>
        </w:rPr>
        <w:t xml:space="preserve">. It participates in the safe and prudent management of </w:t>
      </w:r>
      <w:r w:rsidR="00DF0FC6" w:rsidRPr="00042F16">
        <w:rPr>
          <w:rFonts w:ascii="Verdana" w:hAnsi="Verdana"/>
          <w:sz w:val="20"/>
          <w:szCs w:val="20"/>
        </w:rPr>
        <w:t>t</w:t>
      </w:r>
      <w:r w:rsidR="007E7EDA" w:rsidRPr="00042F16">
        <w:rPr>
          <w:rFonts w:ascii="Verdana" w:hAnsi="Verdana"/>
          <w:sz w:val="20"/>
          <w:szCs w:val="20"/>
        </w:rPr>
        <w:t>he Company</w:t>
      </w:r>
      <w:r w:rsidRPr="00042F16">
        <w:rPr>
          <w:rFonts w:ascii="Verdana" w:hAnsi="Verdana"/>
          <w:sz w:val="20"/>
          <w:szCs w:val="20"/>
        </w:rPr>
        <w:t xml:space="preserve">'s activities as the second line of </w:t>
      </w:r>
      <w:r w:rsidR="00FE41F2" w:rsidRPr="00042F16">
        <w:rPr>
          <w:rFonts w:ascii="Verdana" w:hAnsi="Verdana"/>
          <w:sz w:val="20"/>
          <w:szCs w:val="20"/>
        </w:rPr>
        <w:t>defence</w:t>
      </w:r>
      <w:r w:rsidRPr="00042F16">
        <w:rPr>
          <w:rFonts w:ascii="Verdana" w:hAnsi="Verdana"/>
          <w:sz w:val="20"/>
          <w:szCs w:val="20"/>
        </w:rPr>
        <w:t xml:space="preserve">. </w:t>
      </w:r>
    </w:p>
    <w:p w14:paraId="12B1CCFF" w14:textId="77777777" w:rsidR="00A52457" w:rsidRPr="00042F16" w:rsidRDefault="00A52457" w:rsidP="00042F16">
      <w:pPr>
        <w:spacing w:after="0" w:line="240" w:lineRule="auto"/>
        <w:rPr>
          <w:rFonts w:ascii="Verdana" w:hAnsi="Verdana"/>
          <w:sz w:val="20"/>
          <w:szCs w:val="20"/>
        </w:rPr>
      </w:pPr>
    </w:p>
    <w:p w14:paraId="47FAE132" w14:textId="31D66DDF" w:rsidR="00B225C9" w:rsidRPr="00042F16" w:rsidRDefault="00B225C9" w:rsidP="00042F16">
      <w:pPr>
        <w:spacing w:after="0" w:line="240" w:lineRule="auto"/>
        <w:rPr>
          <w:rFonts w:ascii="Verdana" w:hAnsi="Verdana"/>
          <w:sz w:val="20"/>
          <w:szCs w:val="20"/>
        </w:rPr>
      </w:pPr>
      <w:r w:rsidRPr="00042F16">
        <w:rPr>
          <w:rFonts w:ascii="Verdana" w:hAnsi="Verdana"/>
          <w:sz w:val="20"/>
          <w:szCs w:val="20"/>
        </w:rPr>
        <w:t>T</w:t>
      </w:r>
      <w:r w:rsidR="00DF0FC6" w:rsidRPr="00042F16">
        <w:rPr>
          <w:rFonts w:ascii="Verdana" w:hAnsi="Verdana"/>
          <w:sz w:val="20"/>
          <w:szCs w:val="20"/>
        </w:rPr>
        <w:t>he Chief Compliance Officer of t</w:t>
      </w:r>
      <w:r w:rsidRPr="00042F16">
        <w:rPr>
          <w:rFonts w:ascii="Verdana" w:hAnsi="Verdana"/>
          <w:sz w:val="20"/>
          <w:szCs w:val="20"/>
        </w:rPr>
        <w:t xml:space="preserve">he Company reports to the EC and the CARC and if necessary directly to the </w:t>
      </w:r>
      <w:proofErr w:type="spellStart"/>
      <w:r w:rsidR="000C6BA5" w:rsidRPr="00042F16">
        <w:rPr>
          <w:rFonts w:ascii="Verdana" w:hAnsi="Verdana"/>
          <w:sz w:val="20"/>
          <w:szCs w:val="20"/>
        </w:rPr>
        <w:t>BoD</w:t>
      </w:r>
      <w:proofErr w:type="spellEnd"/>
      <w:r w:rsidRPr="00042F16">
        <w:rPr>
          <w:rFonts w:ascii="Verdana" w:hAnsi="Verdana"/>
          <w:sz w:val="20"/>
          <w:szCs w:val="20"/>
        </w:rPr>
        <w:t>.</w:t>
      </w:r>
      <w:r w:rsidR="00A52457" w:rsidRPr="00042F16">
        <w:rPr>
          <w:rFonts w:ascii="Verdana" w:hAnsi="Verdana"/>
          <w:sz w:val="20"/>
          <w:szCs w:val="20"/>
        </w:rPr>
        <w:t xml:space="preserve"> </w:t>
      </w:r>
      <w:r w:rsidRPr="00042F16">
        <w:rPr>
          <w:rFonts w:ascii="Verdana" w:hAnsi="Verdana"/>
          <w:sz w:val="20"/>
          <w:szCs w:val="20"/>
        </w:rPr>
        <w:t>Compliance function</w:t>
      </w:r>
      <w:r w:rsidR="008249FD" w:rsidRPr="00042F16">
        <w:rPr>
          <w:rFonts w:ascii="Verdana" w:hAnsi="Verdana"/>
          <w:sz w:val="20"/>
          <w:szCs w:val="20"/>
        </w:rPr>
        <w:t xml:space="preserve"> is the </w:t>
      </w:r>
      <w:r w:rsidR="000917C2" w:rsidRPr="00042F16">
        <w:rPr>
          <w:rFonts w:ascii="Verdana" w:hAnsi="Verdana"/>
          <w:sz w:val="20"/>
          <w:szCs w:val="20"/>
        </w:rPr>
        <w:t xml:space="preserve">point of </w:t>
      </w:r>
      <w:r w:rsidR="008249FD" w:rsidRPr="00042F16">
        <w:rPr>
          <w:rFonts w:ascii="Verdana" w:hAnsi="Verdana"/>
          <w:sz w:val="20"/>
          <w:szCs w:val="20"/>
        </w:rPr>
        <w:t>contact for the regulatory authorities.</w:t>
      </w:r>
    </w:p>
    <w:p w14:paraId="34FB9455" w14:textId="77777777" w:rsidR="009863EE" w:rsidRPr="00042F16" w:rsidRDefault="009863EE" w:rsidP="00042F16">
      <w:pPr>
        <w:spacing w:after="0" w:line="240" w:lineRule="auto"/>
        <w:rPr>
          <w:rFonts w:ascii="Verdana" w:hAnsi="Verdana"/>
          <w:sz w:val="20"/>
          <w:szCs w:val="20"/>
        </w:rPr>
      </w:pPr>
    </w:p>
    <w:p w14:paraId="3F048493" w14:textId="41288677" w:rsidR="002621AE" w:rsidRPr="00563B2C" w:rsidRDefault="002621AE" w:rsidP="00042F16">
      <w:pPr>
        <w:pStyle w:val="Heading2"/>
        <w:spacing w:before="0" w:line="240" w:lineRule="auto"/>
        <w:ind w:left="567" w:hanging="567"/>
        <w:rPr>
          <w:rFonts w:ascii="Verdana" w:hAnsi="Verdana"/>
          <w:b/>
          <w:color w:val="6CACE4"/>
          <w:sz w:val="22"/>
          <w:szCs w:val="22"/>
        </w:rPr>
      </w:pPr>
      <w:bookmarkStart w:id="12" w:name="_Toc22716578"/>
      <w:r w:rsidRPr="00563B2C">
        <w:rPr>
          <w:rFonts w:ascii="Verdana" w:hAnsi="Verdana"/>
          <w:b/>
          <w:color w:val="6CACE4"/>
          <w:sz w:val="22"/>
          <w:szCs w:val="22"/>
        </w:rPr>
        <w:t>Risk Management Framework (Art. 435 CRR)</w:t>
      </w:r>
      <w:bookmarkEnd w:id="12"/>
    </w:p>
    <w:p w14:paraId="06FB6E05" w14:textId="77777777" w:rsidR="00042F16" w:rsidRDefault="00042F16" w:rsidP="00042F16">
      <w:pPr>
        <w:spacing w:after="0" w:line="240" w:lineRule="auto"/>
        <w:rPr>
          <w:rFonts w:ascii="Verdana" w:hAnsi="Verdana"/>
          <w:sz w:val="20"/>
          <w:szCs w:val="20"/>
        </w:rPr>
      </w:pPr>
    </w:p>
    <w:p w14:paraId="2B5EC3DC" w14:textId="758DA5C7" w:rsidR="00FC4EE0" w:rsidRPr="00042F16" w:rsidRDefault="00FC4EE0" w:rsidP="00042F16">
      <w:pPr>
        <w:spacing w:after="0" w:line="240" w:lineRule="auto"/>
        <w:rPr>
          <w:rFonts w:ascii="Verdana" w:hAnsi="Verdana"/>
          <w:sz w:val="20"/>
          <w:szCs w:val="20"/>
        </w:rPr>
      </w:pPr>
      <w:r w:rsidRPr="00042F16">
        <w:rPr>
          <w:rFonts w:ascii="Verdana" w:hAnsi="Verdana"/>
          <w:sz w:val="20"/>
          <w:szCs w:val="20"/>
        </w:rPr>
        <w:t xml:space="preserve">According the Circular CSSF 12/552 as amended and the Risk Management Policy of </w:t>
      </w:r>
      <w:proofErr w:type="spellStart"/>
      <w:r w:rsidRPr="00042F16">
        <w:rPr>
          <w:rFonts w:ascii="Verdana" w:hAnsi="Verdana"/>
          <w:sz w:val="20"/>
          <w:szCs w:val="20"/>
        </w:rPr>
        <w:t>CapitalatWork</w:t>
      </w:r>
      <w:proofErr w:type="spellEnd"/>
      <w:r w:rsidRPr="00042F16">
        <w:rPr>
          <w:rFonts w:ascii="Verdana" w:hAnsi="Verdana"/>
          <w:sz w:val="20"/>
          <w:szCs w:val="20"/>
        </w:rPr>
        <w:t xml:space="preserve">, the </w:t>
      </w:r>
      <w:proofErr w:type="spellStart"/>
      <w:r w:rsidR="00971244" w:rsidRPr="00042F16">
        <w:rPr>
          <w:rFonts w:ascii="Verdana" w:hAnsi="Verdana"/>
          <w:sz w:val="20"/>
          <w:szCs w:val="20"/>
        </w:rPr>
        <w:t>BoD</w:t>
      </w:r>
      <w:proofErr w:type="spellEnd"/>
      <w:r w:rsidR="00971244" w:rsidRPr="00042F16">
        <w:rPr>
          <w:rFonts w:ascii="Verdana" w:hAnsi="Verdana"/>
          <w:sz w:val="20"/>
          <w:szCs w:val="20"/>
        </w:rPr>
        <w:t xml:space="preserve"> </w:t>
      </w:r>
      <w:r w:rsidRPr="00042F16">
        <w:rPr>
          <w:rFonts w:ascii="Verdana" w:hAnsi="Verdana"/>
          <w:sz w:val="20"/>
          <w:szCs w:val="20"/>
        </w:rPr>
        <w:t>shall decide on acceptable types and associated level</w:t>
      </w:r>
      <w:r w:rsidR="00971244" w:rsidRPr="00042F16">
        <w:rPr>
          <w:rFonts w:ascii="Verdana" w:hAnsi="Verdana"/>
          <w:sz w:val="20"/>
          <w:szCs w:val="20"/>
        </w:rPr>
        <w:t>s</w:t>
      </w:r>
      <w:r w:rsidRPr="00042F16">
        <w:rPr>
          <w:rFonts w:ascii="Verdana" w:hAnsi="Verdana"/>
          <w:sz w:val="20"/>
          <w:szCs w:val="20"/>
        </w:rPr>
        <w:t xml:space="preserve"> of risk appetite in relation to the objectives of the </w:t>
      </w:r>
      <w:r w:rsidR="007E7755" w:rsidRPr="00042F16">
        <w:rPr>
          <w:rFonts w:ascii="Verdana" w:hAnsi="Verdana"/>
          <w:sz w:val="20"/>
          <w:szCs w:val="20"/>
        </w:rPr>
        <w:t>Company</w:t>
      </w:r>
      <w:r w:rsidRPr="00042F16">
        <w:rPr>
          <w:rFonts w:ascii="Verdana" w:hAnsi="Verdana"/>
          <w:sz w:val="20"/>
          <w:szCs w:val="20"/>
        </w:rPr>
        <w:t xml:space="preserve">. </w:t>
      </w:r>
    </w:p>
    <w:p w14:paraId="16AF8CBF" w14:textId="77777777" w:rsidR="00563B2C" w:rsidRDefault="00563B2C" w:rsidP="00042F16">
      <w:pPr>
        <w:spacing w:after="0" w:line="240" w:lineRule="auto"/>
        <w:rPr>
          <w:rFonts w:ascii="Verdana" w:hAnsi="Verdana"/>
          <w:sz w:val="20"/>
          <w:szCs w:val="20"/>
        </w:rPr>
      </w:pPr>
    </w:p>
    <w:p w14:paraId="6D8C9B32" w14:textId="77777777" w:rsidR="00F735DA" w:rsidRPr="00042F16" w:rsidRDefault="00F735DA" w:rsidP="00042F16">
      <w:pPr>
        <w:spacing w:after="0" w:line="240" w:lineRule="auto"/>
        <w:rPr>
          <w:rFonts w:ascii="Verdana" w:hAnsi="Verdana"/>
          <w:sz w:val="20"/>
          <w:szCs w:val="20"/>
        </w:rPr>
      </w:pPr>
      <w:r w:rsidRPr="00042F16">
        <w:rPr>
          <w:rFonts w:ascii="Verdana" w:hAnsi="Verdana"/>
          <w:sz w:val="20"/>
          <w:szCs w:val="20"/>
        </w:rPr>
        <w:t xml:space="preserve">The Group manages risk in accordance with the RM strategy developed by the </w:t>
      </w:r>
      <w:proofErr w:type="spellStart"/>
      <w:r w:rsidRPr="00042F16">
        <w:rPr>
          <w:rFonts w:ascii="Verdana" w:hAnsi="Verdana"/>
          <w:sz w:val="20"/>
          <w:szCs w:val="20"/>
        </w:rPr>
        <w:t>BoD</w:t>
      </w:r>
      <w:proofErr w:type="spellEnd"/>
      <w:r w:rsidRPr="00042F16">
        <w:rPr>
          <w:rFonts w:ascii="Verdana" w:hAnsi="Verdana"/>
          <w:sz w:val="20"/>
          <w:szCs w:val="20"/>
        </w:rPr>
        <w:t xml:space="preserve"> and ensures consistency of its approach through an integrated RM framework described below.</w:t>
      </w:r>
    </w:p>
    <w:p w14:paraId="67B7311C" w14:textId="77777777" w:rsidR="00563B2C" w:rsidRDefault="00563B2C" w:rsidP="00042F16">
      <w:pPr>
        <w:spacing w:after="0" w:line="240" w:lineRule="auto"/>
        <w:rPr>
          <w:rFonts w:ascii="Verdana" w:hAnsi="Verdana"/>
          <w:sz w:val="20"/>
          <w:szCs w:val="20"/>
        </w:rPr>
      </w:pPr>
    </w:p>
    <w:p w14:paraId="462AC9EB" w14:textId="00EDCCCC" w:rsidR="00F735DA" w:rsidRPr="00042F16" w:rsidRDefault="00F735DA" w:rsidP="00042F16">
      <w:pPr>
        <w:spacing w:after="0" w:line="240" w:lineRule="auto"/>
        <w:rPr>
          <w:rFonts w:ascii="Verdana" w:hAnsi="Verdana"/>
          <w:sz w:val="20"/>
          <w:szCs w:val="20"/>
        </w:rPr>
      </w:pPr>
      <w:r w:rsidRPr="00042F16">
        <w:rPr>
          <w:rFonts w:ascii="Verdana" w:hAnsi="Verdana"/>
          <w:sz w:val="20"/>
          <w:szCs w:val="20"/>
        </w:rPr>
        <w:t>The enterprise-wide RM framew</w:t>
      </w:r>
      <w:r w:rsidR="0035649D" w:rsidRPr="00042F16">
        <w:rPr>
          <w:rFonts w:ascii="Verdana" w:hAnsi="Verdana"/>
          <w:sz w:val="20"/>
          <w:szCs w:val="20"/>
        </w:rPr>
        <w:t>ork, including</w:t>
      </w:r>
      <w:r w:rsidRPr="00042F16">
        <w:rPr>
          <w:rFonts w:ascii="Verdana" w:hAnsi="Verdana"/>
          <w:sz w:val="20"/>
          <w:szCs w:val="20"/>
        </w:rPr>
        <w:t xml:space="preserve"> the risk identification, measurement, follow up and management functioning, is responsive to the nature of the challenges that the Company </w:t>
      </w:r>
      <w:r w:rsidR="00971244" w:rsidRPr="00042F16">
        <w:rPr>
          <w:rFonts w:ascii="Verdana" w:hAnsi="Verdana"/>
          <w:sz w:val="20"/>
          <w:szCs w:val="20"/>
        </w:rPr>
        <w:t xml:space="preserve">is confronted with, </w:t>
      </w:r>
      <w:r w:rsidRPr="00042F16">
        <w:rPr>
          <w:rFonts w:ascii="Verdana" w:hAnsi="Verdana"/>
          <w:sz w:val="20"/>
          <w:szCs w:val="20"/>
        </w:rPr>
        <w:t xml:space="preserve">as it engages in different activities as well as in distinct geographic locations and legal entities. </w:t>
      </w:r>
    </w:p>
    <w:p w14:paraId="79E3ED93" w14:textId="77777777" w:rsidR="00563B2C" w:rsidRDefault="00563B2C" w:rsidP="00042F16">
      <w:pPr>
        <w:spacing w:after="0" w:line="240" w:lineRule="auto"/>
        <w:rPr>
          <w:rFonts w:ascii="Verdana" w:hAnsi="Verdana"/>
          <w:sz w:val="20"/>
          <w:szCs w:val="20"/>
        </w:rPr>
      </w:pPr>
    </w:p>
    <w:p w14:paraId="729126D7" w14:textId="732A4213" w:rsidR="00F735DA" w:rsidRPr="00042F16" w:rsidRDefault="00F735DA" w:rsidP="00042F16">
      <w:pPr>
        <w:spacing w:after="0" w:line="240" w:lineRule="auto"/>
        <w:rPr>
          <w:rFonts w:ascii="Verdana" w:hAnsi="Verdana"/>
          <w:sz w:val="20"/>
          <w:szCs w:val="20"/>
        </w:rPr>
      </w:pPr>
      <w:r w:rsidRPr="00042F16">
        <w:rPr>
          <w:rFonts w:ascii="Verdana" w:hAnsi="Verdana"/>
          <w:sz w:val="20"/>
          <w:szCs w:val="20"/>
        </w:rPr>
        <w:t xml:space="preserve">The RM </w:t>
      </w:r>
      <w:r w:rsidR="00A00275" w:rsidRPr="00042F16">
        <w:rPr>
          <w:rFonts w:ascii="Verdana" w:hAnsi="Verdana"/>
          <w:sz w:val="20"/>
          <w:szCs w:val="20"/>
        </w:rPr>
        <w:t>d</w:t>
      </w:r>
      <w:r w:rsidRPr="00042F16">
        <w:rPr>
          <w:rFonts w:ascii="Verdana" w:hAnsi="Verdana"/>
          <w:sz w:val="20"/>
          <w:szCs w:val="20"/>
        </w:rPr>
        <w:t>epartment will maintain objectivity and confidentiality at any time, in each of its mission</w:t>
      </w:r>
      <w:r w:rsidR="000917C2" w:rsidRPr="00042F16">
        <w:rPr>
          <w:rFonts w:ascii="Verdana" w:hAnsi="Verdana"/>
          <w:sz w:val="20"/>
          <w:szCs w:val="20"/>
        </w:rPr>
        <w:t>s</w:t>
      </w:r>
      <w:r w:rsidRPr="00042F16">
        <w:rPr>
          <w:rFonts w:ascii="Verdana" w:hAnsi="Verdana"/>
          <w:sz w:val="20"/>
          <w:szCs w:val="20"/>
        </w:rPr>
        <w:t xml:space="preserve"> and controls. </w:t>
      </w:r>
    </w:p>
    <w:p w14:paraId="381E263A" w14:textId="77777777" w:rsidR="00563B2C" w:rsidRDefault="00563B2C" w:rsidP="00042F16">
      <w:pPr>
        <w:spacing w:after="0" w:line="240" w:lineRule="auto"/>
        <w:rPr>
          <w:rFonts w:ascii="Verdana" w:hAnsi="Verdana"/>
          <w:sz w:val="20"/>
          <w:szCs w:val="20"/>
        </w:rPr>
      </w:pPr>
    </w:p>
    <w:p w14:paraId="458C0A94" w14:textId="7AC1B8B9" w:rsidR="00F735DA" w:rsidRDefault="00F735DA" w:rsidP="00042F16">
      <w:pPr>
        <w:spacing w:after="0" w:line="240" w:lineRule="auto"/>
        <w:rPr>
          <w:rFonts w:ascii="Verdana" w:hAnsi="Verdana"/>
          <w:sz w:val="20"/>
          <w:szCs w:val="20"/>
        </w:rPr>
      </w:pPr>
      <w:r w:rsidRPr="00042F16">
        <w:rPr>
          <w:rFonts w:ascii="Verdana" w:hAnsi="Verdana"/>
          <w:sz w:val="20"/>
          <w:szCs w:val="20"/>
        </w:rPr>
        <w:t>This approac</w:t>
      </w:r>
      <w:r w:rsidR="000917C2" w:rsidRPr="00042F16">
        <w:rPr>
          <w:rFonts w:ascii="Verdana" w:hAnsi="Verdana"/>
          <w:sz w:val="20"/>
          <w:szCs w:val="20"/>
        </w:rPr>
        <w:t>h should provide the local and g</w:t>
      </w:r>
      <w:r w:rsidRPr="00042F16">
        <w:rPr>
          <w:rFonts w:ascii="Verdana" w:hAnsi="Verdana"/>
          <w:sz w:val="20"/>
          <w:szCs w:val="20"/>
        </w:rPr>
        <w:t>roup management with th</w:t>
      </w:r>
      <w:r w:rsidR="00A40CA9" w:rsidRPr="00042F16">
        <w:rPr>
          <w:rFonts w:ascii="Verdana" w:hAnsi="Verdana"/>
          <w:sz w:val="20"/>
          <w:szCs w:val="20"/>
        </w:rPr>
        <w:t>e assurance that risks are</w:t>
      </w:r>
      <w:r w:rsidRPr="00042F16">
        <w:rPr>
          <w:rFonts w:ascii="Verdana" w:hAnsi="Verdana"/>
          <w:sz w:val="20"/>
          <w:szCs w:val="20"/>
        </w:rPr>
        <w:t xml:space="preserve"> managed in accordance with the group risk strategy and objectives and o</w:t>
      </w:r>
      <w:r w:rsidR="0035649D" w:rsidRPr="00042F16">
        <w:rPr>
          <w:rFonts w:ascii="Verdana" w:hAnsi="Verdana"/>
          <w:sz w:val="20"/>
          <w:szCs w:val="20"/>
        </w:rPr>
        <w:t>verall risk appetite</w:t>
      </w:r>
      <w:r w:rsidRPr="00042F16">
        <w:rPr>
          <w:rFonts w:ascii="Verdana" w:hAnsi="Verdana"/>
          <w:sz w:val="20"/>
          <w:szCs w:val="20"/>
        </w:rPr>
        <w:t>. More specifically, the RM framework includes the following pillars</w:t>
      </w:r>
      <w:r w:rsidR="0035649D" w:rsidRPr="00042F16">
        <w:rPr>
          <w:rFonts w:ascii="Verdana" w:hAnsi="Verdana"/>
          <w:sz w:val="20"/>
          <w:szCs w:val="20"/>
        </w:rPr>
        <w:t xml:space="preserve"> and guidelines</w:t>
      </w:r>
      <w:r w:rsidRPr="00042F16">
        <w:rPr>
          <w:rFonts w:ascii="Verdana" w:hAnsi="Verdana"/>
          <w:sz w:val="20"/>
          <w:szCs w:val="20"/>
        </w:rPr>
        <w:t xml:space="preserve">: </w:t>
      </w:r>
    </w:p>
    <w:p w14:paraId="42C08188" w14:textId="77777777" w:rsidR="00042F16" w:rsidRPr="00042F16" w:rsidRDefault="00042F16" w:rsidP="00042F16">
      <w:pPr>
        <w:spacing w:after="0" w:line="240" w:lineRule="auto"/>
        <w:rPr>
          <w:rFonts w:ascii="Verdana" w:hAnsi="Verdana"/>
          <w:sz w:val="20"/>
          <w:szCs w:val="20"/>
        </w:rPr>
      </w:pPr>
    </w:p>
    <w:p w14:paraId="287EAF00" w14:textId="77777777" w:rsidR="00F735DA" w:rsidRPr="00042F16" w:rsidRDefault="00F735DA" w:rsidP="00042F16">
      <w:pPr>
        <w:pStyle w:val="ListParagraph"/>
        <w:numPr>
          <w:ilvl w:val="0"/>
          <w:numId w:val="7"/>
        </w:numPr>
        <w:spacing w:after="0" w:line="240" w:lineRule="auto"/>
        <w:ind w:left="426" w:hanging="426"/>
        <w:rPr>
          <w:rStyle w:val="SubtleEmphasis"/>
          <w:rFonts w:ascii="Verdana" w:hAnsi="Verdana"/>
          <w:sz w:val="20"/>
          <w:szCs w:val="20"/>
        </w:rPr>
      </w:pPr>
      <w:r w:rsidRPr="00042F16">
        <w:rPr>
          <w:rStyle w:val="SubtleEmphasis"/>
          <w:rFonts w:ascii="Verdana" w:hAnsi="Verdana"/>
          <w:sz w:val="20"/>
          <w:szCs w:val="20"/>
        </w:rPr>
        <w:t>Risk Mapping</w:t>
      </w:r>
    </w:p>
    <w:p w14:paraId="1F0C67AC" w14:textId="6CD8E19D" w:rsidR="00F735DA" w:rsidRPr="00042F16" w:rsidRDefault="00A40CA9" w:rsidP="00042F16">
      <w:pPr>
        <w:spacing w:after="0" w:line="240" w:lineRule="auto"/>
        <w:rPr>
          <w:rFonts w:ascii="Verdana" w:hAnsi="Verdana"/>
          <w:sz w:val="20"/>
          <w:szCs w:val="20"/>
        </w:rPr>
      </w:pPr>
      <w:r w:rsidRPr="00042F16">
        <w:rPr>
          <w:rFonts w:ascii="Verdana" w:hAnsi="Verdana"/>
          <w:sz w:val="20"/>
          <w:szCs w:val="20"/>
        </w:rPr>
        <w:t>Every three years</w:t>
      </w:r>
      <w:r w:rsidR="00F735DA" w:rsidRPr="00042F16">
        <w:rPr>
          <w:rFonts w:ascii="Verdana" w:hAnsi="Verdana"/>
          <w:sz w:val="20"/>
          <w:szCs w:val="20"/>
        </w:rPr>
        <w:t xml:space="preserve">, the RM department coordinates a group-wide risk assessment exercise. </w:t>
      </w:r>
      <w:r w:rsidRPr="00042F16">
        <w:rPr>
          <w:rFonts w:ascii="Verdana" w:hAnsi="Verdana"/>
          <w:sz w:val="20"/>
          <w:szCs w:val="20"/>
        </w:rPr>
        <w:t xml:space="preserve">Every year, the RM department </w:t>
      </w:r>
      <w:r w:rsidR="00810845">
        <w:rPr>
          <w:rFonts w:ascii="Verdana" w:hAnsi="Verdana"/>
          <w:sz w:val="20"/>
          <w:szCs w:val="20"/>
        </w:rPr>
        <w:t xml:space="preserve">updates </w:t>
      </w:r>
      <w:r w:rsidRPr="00042F16">
        <w:rPr>
          <w:rFonts w:ascii="Verdana" w:hAnsi="Verdana"/>
          <w:sz w:val="20"/>
          <w:szCs w:val="20"/>
        </w:rPr>
        <w:t xml:space="preserve">the risk assessment </w:t>
      </w:r>
      <w:r w:rsidR="00F735DA" w:rsidRPr="00042F16">
        <w:rPr>
          <w:rFonts w:ascii="Verdana" w:hAnsi="Verdana"/>
          <w:sz w:val="20"/>
          <w:szCs w:val="20"/>
        </w:rPr>
        <w:t>if necessary</w:t>
      </w:r>
      <w:r w:rsidR="00810845">
        <w:rPr>
          <w:rFonts w:ascii="Verdana" w:hAnsi="Verdana"/>
          <w:sz w:val="20"/>
          <w:szCs w:val="20"/>
        </w:rPr>
        <w:t xml:space="preserve"> within its regular reports</w:t>
      </w:r>
      <w:r w:rsidR="00F735DA" w:rsidRPr="00042F16">
        <w:rPr>
          <w:rFonts w:ascii="Verdana" w:hAnsi="Verdana"/>
          <w:sz w:val="20"/>
          <w:szCs w:val="20"/>
        </w:rPr>
        <w:t xml:space="preserve">. Group Executive Committee (EC) validates results and subsequent yearly updates. </w:t>
      </w:r>
    </w:p>
    <w:p w14:paraId="39F1EEB4" w14:textId="44809C4C" w:rsidR="00F735DA" w:rsidRPr="00042F16" w:rsidRDefault="00F735DA" w:rsidP="00042F16">
      <w:pPr>
        <w:spacing w:after="0" w:line="240" w:lineRule="auto"/>
        <w:rPr>
          <w:rFonts w:ascii="Verdana" w:hAnsi="Verdana"/>
          <w:sz w:val="20"/>
          <w:szCs w:val="20"/>
        </w:rPr>
      </w:pPr>
      <w:r w:rsidRPr="00042F16">
        <w:rPr>
          <w:rFonts w:ascii="Verdana" w:hAnsi="Verdana"/>
          <w:sz w:val="20"/>
          <w:szCs w:val="20"/>
        </w:rPr>
        <w:t xml:space="preserve">The risk mapping consists in a risk self-assessment </w:t>
      </w:r>
      <w:r w:rsidR="00A40CA9" w:rsidRPr="00042F16">
        <w:rPr>
          <w:rFonts w:ascii="Verdana" w:hAnsi="Verdana"/>
          <w:sz w:val="20"/>
          <w:szCs w:val="20"/>
        </w:rPr>
        <w:t xml:space="preserve">by a </w:t>
      </w:r>
      <w:r w:rsidRPr="00042F16">
        <w:rPr>
          <w:rFonts w:ascii="Verdana" w:hAnsi="Verdana"/>
          <w:sz w:val="20"/>
          <w:szCs w:val="20"/>
        </w:rPr>
        <w:t xml:space="preserve">panel of staff and management. Main output is a hierarchy of top risks, which is the basis for </w:t>
      </w:r>
      <w:r w:rsidR="00A40CA9" w:rsidRPr="00042F16">
        <w:rPr>
          <w:rFonts w:ascii="Verdana" w:hAnsi="Verdana"/>
          <w:sz w:val="20"/>
          <w:szCs w:val="20"/>
        </w:rPr>
        <w:t xml:space="preserve">the </w:t>
      </w:r>
      <w:r w:rsidRPr="00042F16">
        <w:rPr>
          <w:rFonts w:ascii="Verdana" w:hAnsi="Verdana"/>
          <w:sz w:val="20"/>
          <w:szCs w:val="20"/>
        </w:rPr>
        <w:t>development of a further action plan and monitoring dashboards, if necessary.</w:t>
      </w:r>
    </w:p>
    <w:p w14:paraId="20025DD8" w14:textId="77777777" w:rsidR="00F71FFD" w:rsidRPr="00042F16" w:rsidRDefault="00F71FFD" w:rsidP="00042F16">
      <w:pPr>
        <w:spacing w:after="0" w:line="240" w:lineRule="auto"/>
        <w:rPr>
          <w:rFonts w:ascii="Verdana" w:hAnsi="Verdana"/>
          <w:sz w:val="20"/>
          <w:szCs w:val="20"/>
        </w:rPr>
      </w:pPr>
    </w:p>
    <w:p w14:paraId="115F323B" w14:textId="77777777" w:rsidR="00F735DA" w:rsidRPr="00042F16" w:rsidRDefault="00F735DA" w:rsidP="00042F16">
      <w:pPr>
        <w:pStyle w:val="ListParagraph"/>
        <w:numPr>
          <w:ilvl w:val="0"/>
          <w:numId w:val="7"/>
        </w:numPr>
        <w:spacing w:after="0" w:line="240" w:lineRule="auto"/>
        <w:ind w:left="426" w:hanging="426"/>
        <w:rPr>
          <w:rStyle w:val="SubtleEmphasis"/>
          <w:rFonts w:ascii="Verdana" w:hAnsi="Verdana"/>
          <w:sz w:val="20"/>
          <w:szCs w:val="20"/>
        </w:rPr>
      </w:pPr>
      <w:r w:rsidRPr="00042F16">
        <w:rPr>
          <w:rStyle w:val="SubtleEmphasis"/>
          <w:rFonts w:ascii="Verdana" w:hAnsi="Verdana"/>
          <w:sz w:val="20"/>
          <w:szCs w:val="20"/>
        </w:rPr>
        <w:t>Risk Management action plan</w:t>
      </w:r>
    </w:p>
    <w:p w14:paraId="0C16B5D0" w14:textId="54B0B1B7" w:rsidR="00F735DA" w:rsidRPr="00042F16" w:rsidRDefault="00A40CA9" w:rsidP="00042F16">
      <w:pPr>
        <w:spacing w:after="0" w:line="240" w:lineRule="auto"/>
        <w:rPr>
          <w:rFonts w:ascii="Verdana" w:hAnsi="Verdana"/>
          <w:sz w:val="20"/>
          <w:szCs w:val="20"/>
        </w:rPr>
      </w:pPr>
      <w:r w:rsidRPr="00042F16">
        <w:rPr>
          <w:rFonts w:ascii="Verdana" w:hAnsi="Verdana"/>
          <w:sz w:val="20"/>
          <w:szCs w:val="20"/>
        </w:rPr>
        <w:t>The risk mapping</w:t>
      </w:r>
      <w:r w:rsidR="00F0185F" w:rsidRPr="00042F16">
        <w:rPr>
          <w:rFonts w:ascii="Verdana" w:hAnsi="Verdana"/>
          <w:sz w:val="20"/>
          <w:szCs w:val="20"/>
        </w:rPr>
        <w:t xml:space="preserve"> and </w:t>
      </w:r>
      <w:r w:rsidRPr="00042F16">
        <w:rPr>
          <w:rFonts w:ascii="Verdana" w:hAnsi="Verdana"/>
          <w:sz w:val="20"/>
          <w:szCs w:val="20"/>
        </w:rPr>
        <w:t>the</w:t>
      </w:r>
      <w:r w:rsidR="00F0185F" w:rsidRPr="00042F16">
        <w:rPr>
          <w:rFonts w:ascii="Verdana" w:hAnsi="Verdana"/>
          <w:sz w:val="20"/>
          <w:szCs w:val="20"/>
        </w:rPr>
        <w:t xml:space="preserve"> RM department</w:t>
      </w:r>
      <w:r w:rsidRPr="00042F16">
        <w:rPr>
          <w:rFonts w:ascii="Verdana" w:hAnsi="Verdana"/>
          <w:sz w:val="20"/>
          <w:szCs w:val="20"/>
        </w:rPr>
        <w:t xml:space="preserve"> professional ju</w:t>
      </w:r>
      <w:r w:rsidR="00F0185F" w:rsidRPr="00042F16">
        <w:rPr>
          <w:rFonts w:ascii="Verdana" w:hAnsi="Verdana"/>
          <w:sz w:val="20"/>
          <w:szCs w:val="20"/>
        </w:rPr>
        <w:t>dgment enable</w:t>
      </w:r>
      <w:r w:rsidRPr="00042F16">
        <w:rPr>
          <w:rFonts w:ascii="Verdana" w:hAnsi="Verdana"/>
          <w:sz w:val="20"/>
          <w:szCs w:val="20"/>
        </w:rPr>
        <w:t xml:space="preserve"> to establish a </w:t>
      </w:r>
      <w:r w:rsidR="00F735DA" w:rsidRPr="00042F16">
        <w:rPr>
          <w:rFonts w:ascii="Verdana" w:hAnsi="Verdana"/>
          <w:sz w:val="20"/>
          <w:szCs w:val="20"/>
        </w:rPr>
        <w:t>global RM action plan. This action plan defines a number of RM areas</w:t>
      </w:r>
      <w:r w:rsidR="00F0185F" w:rsidRPr="00042F16">
        <w:rPr>
          <w:rFonts w:ascii="Verdana" w:hAnsi="Verdana"/>
          <w:sz w:val="20"/>
          <w:szCs w:val="20"/>
        </w:rPr>
        <w:t xml:space="preserve"> and pain points</w:t>
      </w:r>
      <w:r w:rsidR="00F735DA" w:rsidRPr="00042F16">
        <w:rPr>
          <w:rFonts w:ascii="Verdana" w:hAnsi="Verdana"/>
          <w:sz w:val="20"/>
          <w:szCs w:val="20"/>
        </w:rPr>
        <w:t xml:space="preserve"> </w:t>
      </w:r>
      <w:r w:rsidR="00F0185F" w:rsidRPr="00042F16">
        <w:rPr>
          <w:rFonts w:ascii="Verdana" w:hAnsi="Verdana"/>
          <w:sz w:val="20"/>
          <w:szCs w:val="20"/>
        </w:rPr>
        <w:t xml:space="preserve">where RM should focus within the year. </w:t>
      </w:r>
    </w:p>
    <w:p w14:paraId="77AD426E" w14:textId="77777777" w:rsidR="00563B2C" w:rsidRDefault="00563B2C" w:rsidP="00042F16">
      <w:pPr>
        <w:spacing w:after="0" w:line="240" w:lineRule="auto"/>
        <w:rPr>
          <w:rFonts w:ascii="Verdana" w:hAnsi="Verdana"/>
          <w:sz w:val="20"/>
          <w:szCs w:val="20"/>
        </w:rPr>
      </w:pPr>
    </w:p>
    <w:p w14:paraId="5E499EC3" w14:textId="517535F3" w:rsidR="00F735DA" w:rsidRDefault="00F735DA" w:rsidP="00042F16">
      <w:pPr>
        <w:spacing w:after="0" w:line="240" w:lineRule="auto"/>
        <w:rPr>
          <w:rFonts w:ascii="Verdana" w:hAnsi="Verdana"/>
          <w:sz w:val="20"/>
          <w:szCs w:val="20"/>
        </w:rPr>
      </w:pPr>
      <w:r w:rsidRPr="00042F16">
        <w:rPr>
          <w:rFonts w:ascii="Verdana" w:hAnsi="Verdana"/>
          <w:sz w:val="20"/>
          <w:szCs w:val="20"/>
        </w:rPr>
        <w:t>T</w:t>
      </w:r>
      <w:r w:rsidR="00F0185F" w:rsidRPr="00042F16">
        <w:rPr>
          <w:rFonts w:ascii="Verdana" w:hAnsi="Verdana"/>
          <w:sz w:val="20"/>
          <w:szCs w:val="20"/>
        </w:rPr>
        <w:t>his plan is</w:t>
      </w:r>
      <w:r w:rsidR="0035649D" w:rsidRPr="00042F16">
        <w:rPr>
          <w:rFonts w:ascii="Verdana" w:hAnsi="Verdana"/>
          <w:sz w:val="20"/>
          <w:szCs w:val="20"/>
        </w:rPr>
        <w:t xml:space="preserve"> indicative and</w:t>
      </w:r>
      <w:r w:rsidRPr="00042F16">
        <w:rPr>
          <w:rFonts w:ascii="Verdana" w:hAnsi="Verdana"/>
          <w:sz w:val="20"/>
          <w:szCs w:val="20"/>
        </w:rPr>
        <w:t xml:space="preserve"> is </w:t>
      </w:r>
      <w:r w:rsidR="00F0185F" w:rsidRPr="00042F16">
        <w:rPr>
          <w:rFonts w:ascii="Verdana" w:hAnsi="Verdana"/>
          <w:sz w:val="20"/>
          <w:szCs w:val="20"/>
        </w:rPr>
        <w:t>updated</w:t>
      </w:r>
      <w:r w:rsidRPr="00042F16">
        <w:rPr>
          <w:rFonts w:ascii="Verdana" w:hAnsi="Verdana"/>
          <w:sz w:val="20"/>
          <w:szCs w:val="20"/>
        </w:rPr>
        <w:t xml:space="preserve"> every year by </w:t>
      </w:r>
      <w:r w:rsidR="00F0185F" w:rsidRPr="00042F16">
        <w:rPr>
          <w:rFonts w:ascii="Verdana" w:hAnsi="Verdana"/>
          <w:sz w:val="20"/>
          <w:szCs w:val="20"/>
        </w:rPr>
        <w:t xml:space="preserve">the </w:t>
      </w:r>
      <w:r w:rsidRPr="00042F16">
        <w:rPr>
          <w:rFonts w:ascii="Verdana" w:hAnsi="Verdana"/>
          <w:sz w:val="20"/>
          <w:szCs w:val="20"/>
        </w:rPr>
        <w:t xml:space="preserve">RM department </w:t>
      </w:r>
      <w:r w:rsidR="0035649D" w:rsidRPr="00042F16">
        <w:rPr>
          <w:rFonts w:ascii="Verdana" w:hAnsi="Verdana"/>
          <w:sz w:val="20"/>
          <w:szCs w:val="20"/>
        </w:rPr>
        <w:t>before being</w:t>
      </w:r>
      <w:r w:rsidRPr="00042F16">
        <w:rPr>
          <w:rFonts w:ascii="Verdana" w:hAnsi="Verdana"/>
          <w:sz w:val="20"/>
          <w:szCs w:val="20"/>
        </w:rPr>
        <w:t xml:space="preserve"> submitted to </w:t>
      </w:r>
      <w:r w:rsidR="00F0185F" w:rsidRPr="00042F16">
        <w:rPr>
          <w:rFonts w:ascii="Verdana" w:hAnsi="Verdana"/>
          <w:sz w:val="20"/>
          <w:szCs w:val="20"/>
        </w:rPr>
        <w:t xml:space="preserve">the </w:t>
      </w:r>
      <w:r w:rsidRPr="00042F16">
        <w:rPr>
          <w:rFonts w:ascii="Verdana" w:hAnsi="Verdana"/>
          <w:sz w:val="20"/>
          <w:szCs w:val="20"/>
        </w:rPr>
        <w:t>Group EC for information and comments.</w:t>
      </w:r>
    </w:p>
    <w:p w14:paraId="4CDA5B1D" w14:textId="77777777" w:rsidR="00563B2C" w:rsidRDefault="00563B2C" w:rsidP="00042F16">
      <w:pPr>
        <w:spacing w:after="0" w:line="240" w:lineRule="auto"/>
        <w:rPr>
          <w:rFonts w:ascii="Verdana" w:hAnsi="Verdana"/>
          <w:sz w:val="20"/>
          <w:szCs w:val="20"/>
        </w:rPr>
      </w:pPr>
    </w:p>
    <w:p w14:paraId="495C9381" w14:textId="77777777" w:rsidR="00F735DA" w:rsidRPr="00042F16" w:rsidRDefault="00F735DA" w:rsidP="00042F16">
      <w:pPr>
        <w:pStyle w:val="ListParagraph"/>
        <w:numPr>
          <w:ilvl w:val="0"/>
          <w:numId w:val="7"/>
        </w:numPr>
        <w:spacing w:after="0" w:line="240" w:lineRule="auto"/>
        <w:ind w:left="426" w:hanging="426"/>
        <w:rPr>
          <w:rStyle w:val="SubtleEmphasis"/>
          <w:rFonts w:ascii="Verdana" w:hAnsi="Verdana"/>
          <w:sz w:val="20"/>
          <w:szCs w:val="20"/>
        </w:rPr>
      </w:pPr>
      <w:r w:rsidRPr="00042F16">
        <w:rPr>
          <w:rStyle w:val="SubtleEmphasis"/>
          <w:rFonts w:ascii="Verdana" w:hAnsi="Verdana"/>
          <w:sz w:val="20"/>
          <w:szCs w:val="20"/>
        </w:rPr>
        <w:t>Risk Management guidelines and restrictions – Investment funds</w:t>
      </w:r>
    </w:p>
    <w:p w14:paraId="7F938E95" w14:textId="57BD126C" w:rsidR="002621AE" w:rsidRPr="00042F16" w:rsidRDefault="00083346" w:rsidP="00042F16">
      <w:pPr>
        <w:spacing w:after="0" w:line="240" w:lineRule="auto"/>
        <w:rPr>
          <w:rFonts w:ascii="Verdana" w:hAnsi="Verdana"/>
          <w:sz w:val="20"/>
          <w:szCs w:val="20"/>
        </w:rPr>
      </w:pPr>
      <w:r w:rsidRPr="00042F16">
        <w:rPr>
          <w:rFonts w:ascii="Verdana" w:hAnsi="Verdana"/>
          <w:sz w:val="20"/>
          <w:szCs w:val="20"/>
        </w:rPr>
        <w:t>The Company</w:t>
      </w:r>
      <w:r w:rsidR="00F735DA" w:rsidRPr="00042F16">
        <w:rPr>
          <w:rFonts w:ascii="Verdana" w:hAnsi="Verdana"/>
          <w:sz w:val="20"/>
          <w:szCs w:val="20"/>
        </w:rPr>
        <w:t xml:space="preserve"> investment funds</w:t>
      </w:r>
      <w:r w:rsidR="00F0185F" w:rsidRPr="00042F16">
        <w:rPr>
          <w:rFonts w:ascii="Verdana" w:hAnsi="Verdana"/>
          <w:sz w:val="20"/>
          <w:szCs w:val="20"/>
        </w:rPr>
        <w:t xml:space="preserve"> need to comply with</w:t>
      </w:r>
      <w:r w:rsidR="00F735DA" w:rsidRPr="00042F16">
        <w:rPr>
          <w:rFonts w:ascii="Verdana" w:hAnsi="Verdana"/>
          <w:sz w:val="20"/>
          <w:szCs w:val="20"/>
        </w:rPr>
        <w:t xml:space="preserve"> </w:t>
      </w:r>
      <w:r w:rsidR="005B1C2A" w:rsidRPr="00042F16">
        <w:rPr>
          <w:rFonts w:ascii="Verdana" w:hAnsi="Verdana"/>
          <w:sz w:val="20"/>
          <w:szCs w:val="20"/>
        </w:rPr>
        <w:t xml:space="preserve">RM investment guidelines </w:t>
      </w:r>
      <w:r w:rsidR="00F0185F" w:rsidRPr="00042F16">
        <w:rPr>
          <w:rFonts w:ascii="Verdana" w:hAnsi="Verdana"/>
          <w:sz w:val="20"/>
          <w:szCs w:val="20"/>
        </w:rPr>
        <w:t>(developed with the As</w:t>
      </w:r>
      <w:r w:rsidR="00F735DA" w:rsidRPr="00042F16">
        <w:rPr>
          <w:rFonts w:ascii="Verdana" w:hAnsi="Verdana"/>
          <w:sz w:val="20"/>
          <w:szCs w:val="20"/>
        </w:rPr>
        <w:t>set Management Departme</w:t>
      </w:r>
      <w:r w:rsidR="00F0185F" w:rsidRPr="00042F16">
        <w:rPr>
          <w:rFonts w:ascii="Verdana" w:hAnsi="Verdana"/>
          <w:sz w:val="20"/>
          <w:szCs w:val="20"/>
        </w:rPr>
        <w:t>nt - AMD)</w:t>
      </w:r>
      <w:r w:rsidR="005B1C2A" w:rsidRPr="00042F16">
        <w:rPr>
          <w:rFonts w:ascii="Verdana" w:hAnsi="Verdana"/>
          <w:sz w:val="20"/>
          <w:szCs w:val="20"/>
        </w:rPr>
        <w:t xml:space="preserve"> </w:t>
      </w:r>
      <w:r w:rsidR="00F0185F" w:rsidRPr="00042F16">
        <w:rPr>
          <w:rFonts w:ascii="Verdana" w:hAnsi="Verdana"/>
          <w:sz w:val="20"/>
          <w:szCs w:val="20"/>
        </w:rPr>
        <w:t xml:space="preserve">and are </w:t>
      </w:r>
      <w:r w:rsidR="00F735DA" w:rsidRPr="00042F16">
        <w:rPr>
          <w:rFonts w:ascii="Verdana" w:hAnsi="Verdana"/>
          <w:sz w:val="20"/>
          <w:szCs w:val="20"/>
        </w:rPr>
        <w:t xml:space="preserve">under the supervision of the </w:t>
      </w:r>
      <w:r w:rsidR="00971244" w:rsidRPr="00042F16">
        <w:rPr>
          <w:rFonts w:ascii="Verdana" w:hAnsi="Verdana"/>
          <w:sz w:val="20"/>
          <w:szCs w:val="20"/>
        </w:rPr>
        <w:t>EC</w:t>
      </w:r>
      <w:r w:rsidR="00F735DA" w:rsidRPr="00042F16">
        <w:rPr>
          <w:rFonts w:ascii="Verdana" w:hAnsi="Verdana"/>
          <w:sz w:val="20"/>
          <w:szCs w:val="20"/>
        </w:rPr>
        <w:t>. These guidelines come in addition to the legal inves</w:t>
      </w:r>
      <w:r w:rsidR="00F0185F" w:rsidRPr="00042F16">
        <w:rPr>
          <w:rFonts w:ascii="Verdana" w:hAnsi="Verdana"/>
          <w:sz w:val="20"/>
          <w:szCs w:val="20"/>
        </w:rPr>
        <w:t>tment restrictions disclosed in the prospectus</w:t>
      </w:r>
      <w:r w:rsidR="00810845">
        <w:rPr>
          <w:rFonts w:ascii="Verdana" w:hAnsi="Verdana"/>
          <w:sz w:val="20"/>
          <w:szCs w:val="20"/>
        </w:rPr>
        <w:t xml:space="preserve"> and in the applicable laws</w:t>
      </w:r>
      <w:r w:rsidR="005B1C2A" w:rsidRPr="00042F16">
        <w:rPr>
          <w:rFonts w:ascii="Verdana" w:hAnsi="Verdana"/>
          <w:sz w:val="20"/>
          <w:szCs w:val="20"/>
        </w:rPr>
        <w:t>.</w:t>
      </w:r>
    </w:p>
    <w:p w14:paraId="6B425A91" w14:textId="77777777" w:rsidR="00F71FFD" w:rsidRDefault="00F71FFD" w:rsidP="00042F16">
      <w:pPr>
        <w:spacing w:after="0" w:line="240" w:lineRule="auto"/>
        <w:rPr>
          <w:rFonts w:ascii="Verdana" w:hAnsi="Verdana"/>
          <w:sz w:val="20"/>
          <w:szCs w:val="20"/>
        </w:rPr>
      </w:pPr>
    </w:p>
    <w:p w14:paraId="6F99E793" w14:textId="77777777" w:rsidR="00810845" w:rsidRPr="00042F16" w:rsidRDefault="00810845" w:rsidP="00042F16">
      <w:pPr>
        <w:spacing w:after="0" w:line="240" w:lineRule="auto"/>
        <w:rPr>
          <w:rFonts w:ascii="Verdana" w:hAnsi="Verdana"/>
          <w:sz w:val="20"/>
          <w:szCs w:val="20"/>
        </w:rPr>
      </w:pPr>
    </w:p>
    <w:p w14:paraId="5AD1D859" w14:textId="77777777" w:rsidR="005B1C2A" w:rsidRPr="00042F16" w:rsidRDefault="005B1C2A" w:rsidP="00042F16">
      <w:pPr>
        <w:pStyle w:val="ListParagraph"/>
        <w:numPr>
          <w:ilvl w:val="0"/>
          <w:numId w:val="7"/>
        </w:numPr>
        <w:spacing w:after="0" w:line="240" w:lineRule="auto"/>
        <w:ind w:left="426" w:hanging="426"/>
        <w:rPr>
          <w:rStyle w:val="SubtleEmphasis"/>
          <w:rFonts w:ascii="Verdana" w:hAnsi="Verdana"/>
          <w:sz w:val="20"/>
          <w:szCs w:val="20"/>
        </w:rPr>
      </w:pPr>
      <w:r w:rsidRPr="00042F16">
        <w:rPr>
          <w:rStyle w:val="SubtleEmphasis"/>
          <w:rFonts w:ascii="Verdana" w:hAnsi="Verdana"/>
          <w:sz w:val="20"/>
          <w:szCs w:val="20"/>
        </w:rPr>
        <w:t>Risk Management guidelines and restrictions-Private clients</w:t>
      </w:r>
    </w:p>
    <w:p w14:paraId="1AAEA95A" w14:textId="613D34C0" w:rsidR="00F0185F" w:rsidRPr="00042F16" w:rsidRDefault="005B1C2A" w:rsidP="00042F16">
      <w:pPr>
        <w:spacing w:after="0" w:line="240" w:lineRule="auto"/>
        <w:rPr>
          <w:rFonts w:ascii="Verdana" w:hAnsi="Verdana"/>
          <w:sz w:val="20"/>
          <w:szCs w:val="20"/>
        </w:rPr>
      </w:pPr>
      <w:r w:rsidRPr="00042F16">
        <w:rPr>
          <w:rFonts w:ascii="Verdana" w:hAnsi="Verdana"/>
          <w:sz w:val="20"/>
          <w:szCs w:val="20"/>
        </w:rPr>
        <w:t xml:space="preserve">Internal RM guidelines </w:t>
      </w:r>
      <w:r w:rsidR="00F0185F" w:rsidRPr="00042F16">
        <w:rPr>
          <w:rFonts w:ascii="Verdana" w:hAnsi="Verdana"/>
          <w:sz w:val="20"/>
          <w:szCs w:val="20"/>
        </w:rPr>
        <w:t>also</w:t>
      </w:r>
      <w:r w:rsidRPr="00042F16">
        <w:rPr>
          <w:rFonts w:ascii="Verdana" w:hAnsi="Verdana"/>
          <w:sz w:val="20"/>
          <w:szCs w:val="20"/>
        </w:rPr>
        <w:t xml:space="preserve"> </w:t>
      </w:r>
      <w:r w:rsidR="00971244" w:rsidRPr="00042F16">
        <w:rPr>
          <w:rFonts w:ascii="Verdana" w:hAnsi="Verdana"/>
          <w:sz w:val="20"/>
          <w:szCs w:val="20"/>
        </w:rPr>
        <w:t>govern t</w:t>
      </w:r>
      <w:r w:rsidRPr="00042F16">
        <w:rPr>
          <w:rFonts w:ascii="Verdana" w:hAnsi="Verdana"/>
          <w:sz w:val="20"/>
          <w:szCs w:val="20"/>
        </w:rPr>
        <w:t xml:space="preserve">he private client portfolios management. </w:t>
      </w:r>
      <w:r w:rsidR="00F0185F" w:rsidRPr="00042F16">
        <w:rPr>
          <w:rFonts w:ascii="Verdana" w:hAnsi="Verdana"/>
          <w:sz w:val="20"/>
          <w:szCs w:val="20"/>
        </w:rPr>
        <w:t xml:space="preserve">Similarly to Investment funds, the RM department and the AMD develop those guidelines together and need to be respected by </w:t>
      </w:r>
      <w:r w:rsidRPr="00042F16">
        <w:rPr>
          <w:rFonts w:ascii="Verdana" w:hAnsi="Verdana"/>
          <w:sz w:val="20"/>
          <w:szCs w:val="20"/>
        </w:rPr>
        <w:t xml:space="preserve">the asset managers. </w:t>
      </w:r>
    </w:p>
    <w:p w14:paraId="6B995C9E" w14:textId="77777777" w:rsidR="00F71FFD" w:rsidRPr="00042F16" w:rsidRDefault="00F71FFD" w:rsidP="00042F16">
      <w:pPr>
        <w:spacing w:after="0" w:line="240" w:lineRule="auto"/>
        <w:rPr>
          <w:rFonts w:ascii="Verdana" w:hAnsi="Verdana"/>
          <w:sz w:val="20"/>
          <w:szCs w:val="20"/>
        </w:rPr>
      </w:pPr>
    </w:p>
    <w:p w14:paraId="3B10E4B9" w14:textId="196BF5F9" w:rsidR="005B1C2A" w:rsidRPr="00042F16" w:rsidRDefault="005B1C2A" w:rsidP="00042F16">
      <w:pPr>
        <w:pStyle w:val="ListParagraph"/>
        <w:numPr>
          <w:ilvl w:val="0"/>
          <w:numId w:val="7"/>
        </w:numPr>
        <w:spacing w:after="0" w:line="240" w:lineRule="auto"/>
        <w:ind w:left="426" w:hanging="426"/>
        <w:rPr>
          <w:rStyle w:val="SubtleEmphasis"/>
          <w:rFonts w:ascii="Verdana" w:hAnsi="Verdana"/>
          <w:sz w:val="20"/>
          <w:szCs w:val="20"/>
        </w:rPr>
      </w:pPr>
      <w:r w:rsidRPr="00042F16">
        <w:rPr>
          <w:rStyle w:val="SubtleEmphasis"/>
          <w:rFonts w:ascii="Verdana" w:hAnsi="Verdana"/>
          <w:sz w:val="20"/>
          <w:szCs w:val="20"/>
        </w:rPr>
        <w:t>Company liquidity risk</w:t>
      </w:r>
    </w:p>
    <w:p w14:paraId="03A61A1D" w14:textId="1F7F0823" w:rsidR="00A00275" w:rsidRPr="00042F16" w:rsidRDefault="008F0118" w:rsidP="00042F16">
      <w:pPr>
        <w:spacing w:after="0" w:line="240" w:lineRule="auto"/>
        <w:rPr>
          <w:rFonts w:ascii="Verdana" w:hAnsi="Verdana"/>
          <w:sz w:val="20"/>
          <w:szCs w:val="20"/>
        </w:rPr>
      </w:pPr>
      <w:r w:rsidRPr="00042F16">
        <w:rPr>
          <w:rFonts w:ascii="Verdana" w:hAnsi="Verdana"/>
          <w:sz w:val="20"/>
          <w:szCs w:val="20"/>
        </w:rPr>
        <w:t xml:space="preserve">The Company applies a prudent liquidity policy </w:t>
      </w:r>
      <w:r w:rsidR="00971244" w:rsidRPr="00042F16">
        <w:rPr>
          <w:rFonts w:ascii="Verdana" w:hAnsi="Verdana"/>
          <w:sz w:val="20"/>
          <w:szCs w:val="20"/>
        </w:rPr>
        <w:t xml:space="preserve">which </w:t>
      </w:r>
      <w:r w:rsidRPr="00042F16">
        <w:rPr>
          <w:rFonts w:ascii="Verdana" w:hAnsi="Verdana"/>
          <w:sz w:val="20"/>
          <w:szCs w:val="20"/>
        </w:rPr>
        <w:t>ensures an efficient</w:t>
      </w:r>
      <w:r w:rsidR="005B1C2A" w:rsidRPr="00042F16">
        <w:rPr>
          <w:rFonts w:ascii="Verdana" w:hAnsi="Verdana"/>
          <w:sz w:val="20"/>
          <w:szCs w:val="20"/>
        </w:rPr>
        <w:t xml:space="preserve"> liquidity risk</w:t>
      </w:r>
      <w:r w:rsidRPr="00042F16">
        <w:rPr>
          <w:rFonts w:ascii="Verdana" w:hAnsi="Verdana"/>
          <w:sz w:val="20"/>
          <w:szCs w:val="20"/>
        </w:rPr>
        <w:t xml:space="preserve"> management</w:t>
      </w:r>
      <w:r w:rsidR="005B1C2A" w:rsidRPr="00042F16">
        <w:rPr>
          <w:rFonts w:ascii="Verdana" w:hAnsi="Verdana"/>
          <w:sz w:val="20"/>
          <w:szCs w:val="20"/>
        </w:rPr>
        <w:t xml:space="preserve">, </w:t>
      </w:r>
      <w:r w:rsidRPr="00042F16">
        <w:rPr>
          <w:rFonts w:ascii="Verdana" w:hAnsi="Verdana"/>
          <w:sz w:val="20"/>
          <w:szCs w:val="20"/>
        </w:rPr>
        <w:t xml:space="preserve">through </w:t>
      </w:r>
      <w:r w:rsidR="005B1C2A" w:rsidRPr="00042F16">
        <w:rPr>
          <w:rFonts w:ascii="Verdana" w:hAnsi="Verdana"/>
          <w:sz w:val="20"/>
          <w:szCs w:val="20"/>
        </w:rPr>
        <w:t>cash monitoring procedures and reporting</w:t>
      </w:r>
      <w:r w:rsidRPr="00042F16">
        <w:rPr>
          <w:rFonts w:ascii="Verdana" w:hAnsi="Verdana"/>
          <w:sz w:val="20"/>
          <w:szCs w:val="20"/>
        </w:rPr>
        <w:t xml:space="preserve">. The </w:t>
      </w:r>
      <w:r w:rsidR="00971244" w:rsidRPr="00042F16">
        <w:rPr>
          <w:rFonts w:ascii="Verdana" w:hAnsi="Verdana"/>
          <w:sz w:val="20"/>
          <w:szCs w:val="20"/>
        </w:rPr>
        <w:t xml:space="preserve">Company </w:t>
      </w:r>
      <w:r w:rsidRPr="00042F16">
        <w:rPr>
          <w:rFonts w:ascii="Verdana" w:hAnsi="Verdana"/>
          <w:sz w:val="20"/>
          <w:szCs w:val="20"/>
        </w:rPr>
        <w:t xml:space="preserve">cautiously selects </w:t>
      </w:r>
      <w:r w:rsidR="005B1C2A" w:rsidRPr="00042F16">
        <w:rPr>
          <w:rFonts w:ascii="Verdana" w:hAnsi="Verdana"/>
          <w:sz w:val="20"/>
          <w:szCs w:val="20"/>
        </w:rPr>
        <w:t>counterpart</w:t>
      </w:r>
      <w:r w:rsidR="00971244" w:rsidRPr="00042F16">
        <w:rPr>
          <w:rFonts w:ascii="Verdana" w:hAnsi="Verdana"/>
          <w:sz w:val="20"/>
          <w:szCs w:val="20"/>
        </w:rPr>
        <w:t>ie</w:t>
      </w:r>
      <w:r w:rsidR="005B1C2A" w:rsidRPr="00042F16">
        <w:rPr>
          <w:rFonts w:ascii="Verdana" w:hAnsi="Verdana"/>
          <w:sz w:val="20"/>
          <w:szCs w:val="20"/>
        </w:rPr>
        <w:t>s and depositaries an</w:t>
      </w:r>
      <w:r w:rsidRPr="00042F16">
        <w:rPr>
          <w:rFonts w:ascii="Verdana" w:hAnsi="Verdana"/>
          <w:sz w:val="20"/>
          <w:szCs w:val="20"/>
        </w:rPr>
        <w:t xml:space="preserve">d assesses their quality on an ongoing basis. </w:t>
      </w:r>
      <w:r w:rsidR="00F117B7" w:rsidRPr="00042F16">
        <w:rPr>
          <w:rFonts w:ascii="Verdana" w:hAnsi="Verdana"/>
          <w:sz w:val="20"/>
          <w:szCs w:val="20"/>
        </w:rPr>
        <w:t xml:space="preserve">Cash allocation strategy ensures an effective monitoring of short and long term liquidity needs. For instance, the cash is invested in short-term deposits and certificates or is placed on current accounts. </w:t>
      </w:r>
      <w:r w:rsidR="00971244" w:rsidRPr="00042F16">
        <w:rPr>
          <w:rFonts w:ascii="Verdana" w:hAnsi="Verdana"/>
          <w:sz w:val="20"/>
          <w:szCs w:val="20"/>
        </w:rPr>
        <w:t>Management</w:t>
      </w:r>
      <w:r w:rsidR="004A6D4D" w:rsidRPr="00042F16">
        <w:rPr>
          <w:rFonts w:ascii="Verdana" w:hAnsi="Verdana"/>
          <w:sz w:val="20"/>
          <w:szCs w:val="20"/>
        </w:rPr>
        <w:t>,</w:t>
      </w:r>
      <w:r w:rsidR="00F117B7" w:rsidRPr="00042F16">
        <w:rPr>
          <w:rFonts w:ascii="Verdana" w:hAnsi="Verdana"/>
          <w:sz w:val="20"/>
          <w:szCs w:val="20"/>
        </w:rPr>
        <w:t xml:space="preserve"> </w:t>
      </w:r>
      <w:r w:rsidR="004A6D4D" w:rsidRPr="00042F16">
        <w:rPr>
          <w:rFonts w:ascii="Verdana" w:hAnsi="Verdana"/>
          <w:sz w:val="20"/>
          <w:szCs w:val="20"/>
        </w:rPr>
        <w:t xml:space="preserve">through a Treasury Committee, </w:t>
      </w:r>
      <w:r w:rsidR="00F117B7" w:rsidRPr="00042F16">
        <w:rPr>
          <w:rFonts w:ascii="Verdana" w:hAnsi="Verdana"/>
          <w:sz w:val="20"/>
          <w:szCs w:val="20"/>
        </w:rPr>
        <w:t>continuously follows up the liquidity management. The Company liquidity risk is</w:t>
      </w:r>
      <w:r w:rsidR="005B1C2A" w:rsidRPr="00042F16">
        <w:rPr>
          <w:rFonts w:ascii="Verdana" w:hAnsi="Verdana"/>
          <w:sz w:val="20"/>
          <w:szCs w:val="20"/>
        </w:rPr>
        <w:t xml:space="preserve"> </w:t>
      </w:r>
      <w:r w:rsidR="00F117B7" w:rsidRPr="00042F16">
        <w:rPr>
          <w:rFonts w:ascii="Verdana" w:hAnsi="Verdana"/>
          <w:sz w:val="20"/>
          <w:szCs w:val="20"/>
        </w:rPr>
        <w:t xml:space="preserve">assessed in the </w:t>
      </w:r>
      <w:r w:rsidR="005B1C2A" w:rsidRPr="00042F16">
        <w:rPr>
          <w:rFonts w:ascii="Verdana" w:hAnsi="Verdana"/>
          <w:sz w:val="20"/>
          <w:szCs w:val="20"/>
        </w:rPr>
        <w:t>ICAAP</w:t>
      </w:r>
      <w:r w:rsidR="004A6D4D" w:rsidRPr="00042F16">
        <w:rPr>
          <w:rFonts w:ascii="Verdana" w:hAnsi="Verdana"/>
          <w:sz w:val="20"/>
          <w:szCs w:val="20"/>
        </w:rPr>
        <w:t xml:space="preserve"> report</w:t>
      </w:r>
      <w:r w:rsidR="005B1C2A" w:rsidRPr="00042F16">
        <w:rPr>
          <w:rFonts w:ascii="Verdana" w:hAnsi="Verdana"/>
          <w:sz w:val="20"/>
          <w:szCs w:val="20"/>
        </w:rPr>
        <w:t>.</w:t>
      </w:r>
    </w:p>
    <w:p w14:paraId="70A8C30F" w14:textId="77777777" w:rsidR="00563B2C" w:rsidRDefault="00563B2C" w:rsidP="00042F16">
      <w:pPr>
        <w:spacing w:after="0" w:line="240" w:lineRule="auto"/>
        <w:rPr>
          <w:rFonts w:ascii="Verdana" w:hAnsi="Verdana"/>
          <w:sz w:val="20"/>
          <w:szCs w:val="20"/>
        </w:rPr>
      </w:pPr>
    </w:p>
    <w:p w14:paraId="505473F6" w14:textId="63B31A3A" w:rsidR="00A00275" w:rsidRPr="00042F16" w:rsidRDefault="00A00275" w:rsidP="00042F16">
      <w:pPr>
        <w:spacing w:after="0" w:line="240" w:lineRule="auto"/>
        <w:rPr>
          <w:rFonts w:ascii="Verdana" w:hAnsi="Verdana"/>
          <w:sz w:val="20"/>
          <w:szCs w:val="20"/>
        </w:rPr>
      </w:pPr>
      <w:r w:rsidRPr="00042F16">
        <w:rPr>
          <w:rFonts w:ascii="Verdana" w:hAnsi="Verdana"/>
          <w:sz w:val="20"/>
          <w:szCs w:val="20"/>
        </w:rPr>
        <w:t xml:space="preserve">Having regard to the current nature, size and complexity of the Company's activities, the Board considers the current risk management measures to be appropriate and in line with the current risk profile and </w:t>
      </w:r>
      <w:r w:rsidR="00971806" w:rsidRPr="00042F16">
        <w:rPr>
          <w:rFonts w:ascii="Verdana" w:hAnsi="Verdana"/>
          <w:sz w:val="20"/>
          <w:szCs w:val="20"/>
        </w:rPr>
        <w:t>r</w:t>
      </w:r>
      <w:r w:rsidRPr="00042F16">
        <w:rPr>
          <w:rFonts w:ascii="Verdana" w:hAnsi="Verdana"/>
          <w:sz w:val="20"/>
          <w:szCs w:val="20"/>
        </w:rPr>
        <w:t xml:space="preserve">isk </w:t>
      </w:r>
      <w:r w:rsidR="00971806" w:rsidRPr="00042F16">
        <w:rPr>
          <w:rFonts w:ascii="Verdana" w:hAnsi="Verdana"/>
          <w:sz w:val="20"/>
          <w:szCs w:val="20"/>
        </w:rPr>
        <w:t>s</w:t>
      </w:r>
      <w:r w:rsidRPr="00042F16">
        <w:rPr>
          <w:rFonts w:ascii="Verdana" w:hAnsi="Verdana"/>
          <w:sz w:val="20"/>
          <w:szCs w:val="20"/>
        </w:rPr>
        <w:t>trategy of the Company.</w:t>
      </w:r>
    </w:p>
    <w:p w14:paraId="53633558" w14:textId="77777777" w:rsidR="00F71FFD" w:rsidRPr="00042F16" w:rsidRDefault="00F71FFD" w:rsidP="00042F16">
      <w:pPr>
        <w:spacing w:after="0" w:line="240" w:lineRule="auto"/>
        <w:rPr>
          <w:rFonts w:ascii="Verdana" w:hAnsi="Verdana"/>
          <w:sz w:val="20"/>
          <w:szCs w:val="20"/>
        </w:rPr>
      </w:pPr>
    </w:p>
    <w:p w14:paraId="6E724DF9" w14:textId="7C63706E" w:rsidR="0092021D" w:rsidRPr="00563B2C" w:rsidRDefault="0092021D" w:rsidP="00042F16">
      <w:pPr>
        <w:pStyle w:val="Heading2"/>
        <w:spacing w:before="0" w:line="240" w:lineRule="auto"/>
        <w:ind w:left="567" w:hanging="567"/>
        <w:rPr>
          <w:rFonts w:ascii="Verdana" w:hAnsi="Verdana"/>
          <w:b/>
          <w:color w:val="6CACE4"/>
          <w:sz w:val="22"/>
          <w:szCs w:val="22"/>
        </w:rPr>
      </w:pPr>
      <w:bookmarkStart w:id="13" w:name="_Toc22716579"/>
      <w:r w:rsidRPr="00563B2C">
        <w:rPr>
          <w:rFonts w:ascii="Verdana" w:hAnsi="Verdana"/>
          <w:b/>
          <w:color w:val="6CACE4"/>
          <w:sz w:val="22"/>
          <w:szCs w:val="22"/>
        </w:rPr>
        <w:t>Risk reporting</w:t>
      </w:r>
      <w:bookmarkEnd w:id="13"/>
    </w:p>
    <w:p w14:paraId="0DDD2E1D" w14:textId="77777777" w:rsidR="00042F16" w:rsidRPr="00042F16" w:rsidRDefault="00042F16" w:rsidP="00042F16">
      <w:pPr>
        <w:spacing w:after="0" w:line="240" w:lineRule="auto"/>
      </w:pPr>
    </w:p>
    <w:p w14:paraId="67E74E0F" w14:textId="0B15BE73" w:rsidR="0092021D" w:rsidRDefault="0092021D" w:rsidP="00042F16">
      <w:pPr>
        <w:spacing w:after="0" w:line="240" w:lineRule="auto"/>
        <w:rPr>
          <w:rFonts w:ascii="Verdana" w:hAnsi="Verdana"/>
          <w:sz w:val="20"/>
          <w:szCs w:val="20"/>
        </w:rPr>
      </w:pPr>
      <w:r w:rsidRPr="00042F16">
        <w:rPr>
          <w:rFonts w:ascii="Verdana" w:hAnsi="Verdana"/>
          <w:sz w:val="20"/>
          <w:szCs w:val="20"/>
        </w:rPr>
        <w:t>The article 435 (1</w:t>
      </w:r>
      <w:proofErr w:type="gramStart"/>
      <w:r w:rsidRPr="00042F16">
        <w:rPr>
          <w:rFonts w:ascii="Verdana" w:hAnsi="Verdana"/>
          <w:sz w:val="20"/>
          <w:szCs w:val="20"/>
        </w:rPr>
        <w:t>)(</w:t>
      </w:r>
      <w:proofErr w:type="gramEnd"/>
      <w:r w:rsidRPr="00042F16">
        <w:rPr>
          <w:rFonts w:ascii="Verdana" w:hAnsi="Verdana"/>
          <w:sz w:val="20"/>
          <w:szCs w:val="20"/>
        </w:rPr>
        <w:t>c) of the CRR requires financial institutions to describe their risk reporting and measurement systems. The table below illustrates the different risk reporting that circulates around the company and its departments:</w:t>
      </w:r>
    </w:p>
    <w:p w14:paraId="6E360C67" w14:textId="77777777" w:rsidR="00042F16" w:rsidRPr="00042F16" w:rsidRDefault="00042F16" w:rsidP="00042F16">
      <w:pPr>
        <w:spacing w:after="0" w:line="240" w:lineRule="auto"/>
        <w:rPr>
          <w:rFonts w:ascii="Verdana" w:hAnsi="Verdana"/>
          <w:sz w:val="20"/>
          <w:szCs w:val="20"/>
        </w:rPr>
      </w:pPr>
    </w:p>
    <w:p w14:paraId="418D3746" w14:textId="1D99D2B3" w:rsidR="00D42EF5" w:rsidRPr="00042F16" w:rsidRDefault="00D42EF5" w:rsidP="00042F16">
      <w:pPr>
        <w:pStyle w:val="Caption"/>
        <w:keepNext/>
        <w:spacing w:after="0"/>
        <w:rPr>
          <w:rFonts w:ascii="Verdana" w:hAnsi="Verdana"/>
          <w:color w:val="auto"/>
          <w:sz w:val="20"/>
          <w:szCs w:val="20"/>
        </w:rPr>
      </w:pPr>
      <w:bookmarkStart w:id="14" w:name="_Toc22716626"/>
      <w:r w:rsidRPr="00042F16">
        <w:rPr>
          <w:rFonts w:ascii="Verdana" w:hAnsi="Verdana"/>
          <w:color w:val="auto"/>
          <w:sz w:val="20"/>
          <w:szCs w:val="20"/>
        </w:rPr>
        <w:t xml:space="preserve">Table </w:t>
      </w:r>
      <w:r w:rsidRPr="00042F16">
        <w:rPr>
          <w:rFonts w:ascii="Verdana" w:hAnsi="Verdana"/>
          <w:color w:val="auto"/>
          <w:sz w:val="20"/>
          <w:szCs w:val="20"/>
        </w:rPr>
        <w:fldChar w:fldCharType="begin"/>
      </w:r>
      <w:r w:rsidRPr="00042F16">
        <w:rPr>
          <w:rFonts w:ascii="Verdana" w:hAnsi="Verdana"/>
          <w:color w:val="auto"/>
          <w:sz w:val="20"/>
          <w:szCs w:val="20"/>
        </w:rPr>
        <w:instrText xml:space="preserve"> SEQ Table \* ARABIC </w:instrText>
      </w:r>
      <w:r w:rsidRPr="00042F16">
        <w:rPr>
          <w:rFonts w:ascii="Verdana" w:hAnsi="Verdana"/>
          <w:color w:val="auto"/>
          <w:sz w:val="20"/>
          <w:szCs w:val="20"/>
        </w:rPr>
        <w:fldChar w:fldCharType="separate"/>
      </w:r>
      <w:r w:rsidR="00E7065A" w:rsidRPr="00042F16">
        <w:rPr>
          <w:rFonts w:ascii="Verdana" w:hAnsi="Verdana"/>
          <w:noProof/>
          <w:color w:val="auto"/>
          <w:sz w:val="20"/>
          <w:szCs w:val="20"/>
        </w:rPr>
        <w:t>2</w:t>
      </w:r>
      <w:r w:rsidRPr="00042F16">
        <w:rPr>
          <w:rFonts w:ascii="Verdana" w:hAnsi="Verdana"/>
          <w:color w:val="auto"/>
          <w:sz w:val="20"/>
          <w:szCs w:val="20"/>
        </w:rPr>
        <w:fldChar w:fldCharType="end"/>
      </w:r>
      <w:r w:rsidRPr="00042F16">
        <w:rPr>
          <w:rFonts w:ascii="Verdana" w:hAnsi="Verdana"/>
          <w:color w:val="auto"/>
          <w:sz w:val="20"/>
          <w:szCs w:val="20"/>
        </w:rPr>
        <w:t xml:space="preserve"> : </w:t>
      </w:r>
      <w:r w:rsidR="00502D47" w:rsidRPr="00042F16">
        <w:rPr>
          <w:rFonts w:ascii="Verdana" w:hAnsi="Verdana"/>
          <w:color w:val="auto"/>
          <w:sz w:val="20"/>
          <w:szCs w:val="20"/>
        </w:rPr>
        <w:t>R</w:t>
      </w:r>
      <w:r w:rsidRPr="00042F16">
        <w:rPr>
          <w:rFonts w:ascii="Verdana" w:hAnsi="Verdana"/>
          <w:color w:val="auto"/>
          <w:sz w:val="20"/>
          <w:szCs w:val="20"/>
        </w:rPr>
        <w:t xml:space="preserve">isk reporting within </w:t>
      </w:r>
      <w:proofErr w:type="spellStart"/>
      <w:r w:rsidRPr="00042F16">
        <w:rPr>
          <w:rFonts w:ascii="Verdana" w:hAnsi="Verdana"/>
          <w:color w:val="auto"/>
          <w:sz w:val="20"/>
          <w:szCs w:val="20"/>
        </w:rPr>
        <w:t>CapitalatWork</w:t>
      </w:r>
      <w:bookmarkEnd w:id="14"/>
      <w:proofErr w:type="spellEnd"/>
    </w:p>
    <w:tbl>
      <w:tblPr>
        <w:tblStyle w:val="TableGrid"/>
        <w:tblW w:w="5000" w:type="pct"/>
        <w:tblLook w:val="04A0" w:firstRow="1" w:lastRow="0" w:firstColumn="1" w:lastColumn="0" w:noHBand="0" w:noVBand="1"/>
      </w:tblPr>
      <w:tblGrid>
        <w:gridCol w:w="2367"/>
        <w:gridCol w:w="2366"/>
        <w:gridCol w:w="2366"/>
        <w:gridCol w:w="2366"/>
      </w:tblGrid>
      <w:tr w:rsidR="00883CEA" w:rsidRPr="00042F16" w14:paraId="76837EB7" w14:textId="77777777" w:rsidTr="00563B2C">
        <w:tc>
          <w:tcPr>
            <w:tcW w:w="1250" w:type="pct"/>
            <w:shd w:val="clear" w:color="auto" w:fill="6CACE4"/>
          </w:tcPr>
          <w:p w14:paraId="406A0FCD" w14:textId="1BBA8520" w:rsidR="0092021D" w:rsidRPr="00042F16" w:rsidRDefault="0092021D" w:rsidP="00042F16">
            <w:pPr>
              <w:jc w:val="center"/>
              <w:rPr>
                <w:rFonts w:ascii="Verdana" w:hAnsi="Verdana"/>
                <w:b/>
                <w:color w:val="FFFFFF" w:themeColor="background1"/>
                <w:sz w:val="20"/>
                <w:szCs w:val="20"/>
              </w:rPr>
            </w:pPr>
            <w:r w:rsidRPr="00042F16">
              <w:rPr>
                <w:rFonts w:ascii="Verdana" w:hAnsi="Verdana"/>
                <w:b/>
                <w:color w:val="FFFFFF" w:themeColor="background1"/>
                <w:sz w:val="20"/>
                <w:szCs w:val="20"/>
              </w:rPr>
              <w:t>Report’s name</w:t>
            </w:r>
          </w:p>
        </w:tc>
        <w:tc>
          <w:tcPr>
            <w:tcW w:w="1250" w:type="pct"/>
            <w:shd w:val="clear" w:color="auto" w:fill="6CACE4"/>
          </w:tcPr>
          <w:p w14:paraId="3FED144C" w14:textId="5D91E8FA" w:rsidR="0092021D" w:rsidRPr="00042F16" w:rsidRDefault="0092021D" w:rsidP="00042F16">
            <w:pPr>
              <w:jc w:val="center"/>
              <w:rPr>
                <w:rFonts w:ascii="Verdana" w:hAnsi="Verdana"/>
                <w:b/>
                <w:color w:val="FFFFFF" w:themeColor="background1"/>
                <w:sz w:val="20"/>
                <w:szCs w:val="20"/>
              </w:rPr>
            </w:pPr>
            <w:r w:rsidRPr="00042F16">
              <w:rPr>
                <w:rFonts w:ascii="Verdana" w:hAnsi="Verdana"/>
                <w:b/>
                <w:color w:val="FFFFFF" w:themeColor="background1"/>
                <w:sz w:val="20"/>
                <w:szCs w:val="20"/>
              </w:rPr>
              <w:t>Frequency</w:t>
            </w:r>
          </w:p>
        </w:tc>
        <w:tc>
          <w:tcPr>
            <w:tcW w:w="1250" w:type="pct"/>
            <w:shd w:val="clear" w:color="auto" w:fill="6CACE4"/>
          </w:tcPr>
          <w:p w14:paraId="053085E0" w14:textId="41A39C2E" w:rsidR="0092021D" w:rsidRPr="00042F16" w:rsidRDefault="0092021D" w:rsidP="00042F16">
            <w:pPr>
              <w:jc w:val="center"/>
              <w:rPr>
                <w:rFonts w:ascii="Verdana" w:hAnsi="Verdana"/>
                <w:b/>
                <w:color w:val="FFFFFF" w:themeColor="background1"/>
                <w:sz w:val="20"/>
                <w:szCs w:val="20"/>
              </w:rPr>
            </w:pPr>
            <w:r w:rsidRPr="00042F16">
              <w:rPr>
                <w:rFonts w:ascii="Verdana" w:hAnsi="Verdana"/>
                <w:b/>
                <w:color w:val="FFFFFF" w:themeColor="background1"/>
                <w:sz w:val="20"/>
                <w:szCs w:val="20"/>
              </w:rPr>
              <w:t>Written by</w:t>
            </w:r>
          </w:p>
        </w:tc>
        <w:tc>
          <w:tcPr>
            <w:tcW w:w="1250" w:type="pct"/>
            <w:shd w:val="clear" w:color="auto" w:fill="6CACE4"/>
          </w:tcPr>
          <w:p w14:paraId="318C82D2" w14:textId="3CAB76FD" w:rsidR="0092021D" w:rsidRPr="00042F16" w:rsidRDefault="0092021D" w:rsidP="00042F16">
            <w:pPr>
              <w:jc w:val="center"/>
              <w:rPr>
                <w:rFonts w:ascii="Verdana" w:hAnsi="Verdana"/>
                <w:b/>
                <w:color w:val="FFFFFF" w:themeColor="background1"/>
                <w:sz w:val="20"/>
                <w:szCs w:val="20"/>
              </w:rPr>
            </w:pPr>
            <w:r w:rsidRPr="00042F16">
              <w:rPr>
                <w:rFonts w:ascii="Verdana" w:hAnsi="Verdana"/>
                <w:b/>
                <w:color w:val="FFFFFF" w:themeColor="background1"/>
                <w:sz w:val="20"/>
                <w:szCs w:val="20"/>
              </w:rPr>
              <w:t>Intended for</w:t>
            </w:r>
          </w:p>
        </w:tc>
      </w:tr>
      <w:tr w:rsidR="0092021D" w:rsidRPr="00042F16" w14:paraId="33467382" w14:textId="77777777" w:rsidTr="007E7755">
        <w:tc>
          <w:tcPr>
            <w:tcW w:w="1250" w:type="pct"/>
            <w:vAlign w:val="center"/>
          </w:tcPr>
          <w:p w14:paraId="2DA116D0" w14:textId="236367BA" w:rsidR="0092021D" w:rsidRPr="00042F16" w:rsidRDefault="0092021D" w:rsidP="00042F16">
            <w:pPr>
              <w:jc w:val="center"/>
              <w:rPr>
                <w:rFonts w:ascii="Verdana" w:hAnsi="Verdana"/>
                <w:sz w:val="20"/>
                <w:szCs w:val="20"/>
              </w:rPr>
            </w:pPr>
            <w:r w:rsidRPr="00042F16">
              <w:rPr>
                <w:rFonts w:ascii="Verdana" w:hAnsi="Verdana"/>
                <w:sz w:val="20"/>
                <w:szCs w:val="20"/>
              </w:rPr>
              <w:t>ICAAP</w:t>
            </w:r>
          </w:p>
        </w:tc>
        <w:tc>
          <w:tcPr>
            <w:tcW w:w="1250" w:type="pct"/>
            <w:vAlign w:val="center"/>
          </w:tcPr>
          <w:p w14:paraId="17F4E56F" w14:textId="1C95BF58" w:rsidR="0092021D" w:rsidRPr="00042F16" w:rsidRDefault="0092021D" w:rsidP="00042F16">
            <w:pPr>
              <w:jc w:val="center"/>
              <w:rPr>
                <w:rFonts w:ascii="Verdana" w:hAnsi="Verdana"/>
                <w:sz w:val="20"/>
                <w:szCs w:val="20"/>
              </w:rPr>
            </w:pPr>
            <w:r w:rsidRPr="00042F16">
              <w:rPr>
                <w:rFonts w:ascii="Verdana" w:hAnsi="Verdana"/>
                <w:sz w:val="20"/>
                <w:szCs w:val="20"/>
              </w:rPr>
              <w:t>Yearly</w:t>
            </w:r>
          </w:p>
        </w:tc>
        <w:tc>
          <w:tcPr>
            <w:tcW w:w="1250" w:type="pct"/>
            <w:vAlign w:val="center"/>
          </w:tcPr>
          <w:p w14:paraId="29128BD2" w14:textId="54EEAF65" w:rsidR="0092021D" w:rsidRPr="00042F16" w:rsidRDefault="0092021D" w:rsidP="00042F16">
            <w:pPr>
              <w:jc w:val="center"/>
              <w:rPr>
                <w:rFonts w:ascii="Verdana" w:hAnsi="Verdana"/>
                <w:sz w:val="20"/>
                <w:szCs w:val="20"/>
              </w:rPr>
            </w:pPr>
            <w:r w:rsidRPr="00042F16">
              <w:rPr>
                <w:rFonts w:ascii="Verdana" w:hAnsi="Verdana"/>
                <w:sz w:val="20"/>
                <w:szCs w:val="20"/>
              </w:rPr>
              <w:t>RM</w:t>
            </w:r>
          </w:p>
        </w:tc>
        <w:tc>
          <w:tcPr>
            <w:tcW w:w="1250" w:type="pct"/>
            <w:vAlign w:val="center"/>
          </w:tcPr>
          <w:p w14:paraId="478ACF7B" w14:textId="28A8FDA0" w:rsidR="0092021D" w:rsidRPr="00042F16" w:rsidRDefault="00FB185F" w:rsidP="00042F16">
            <w:pPr>
              <w:jc w:val="center"/>
              <w:rPr>
                <w:rFonts w:ascii="Verdana" w:hAnsi="Verdana"/>
                <w:sz w:val="20"/>
                <w:szCs w:val="20"/>
              </w:rPr>
            </w:pPr>
            <w:r w:rsidRPr="00042F16">
              <w:rPr>
                <w:rFonts w:ascii="Verdana" w:hAnsi="Verdana"/>
                <w:sz w:val="20"/>
                <w:szCs w:val="20"/>
              </w:rPr>
              <w:t>CSSF and CACRM</w:t>
            </w:r>
          </w:p>
        </w:tc>
      </w:tr>
      <w:tr w:rsidR="00E83416" w:rsidRPr="00042F16" w14:paraId="47052875" w14:textId="77777777" w:rsidTr="007E7755">
        <w:tc>
          <w:tcPr>
            <w:tcW w:w="1250" w:type="pct"/>
            <w:vAlign w:val="center"/>
          </w:tcPr>
          <w:p w14:paraId="35F9D2F9" w14:textId="19009F6E" w:rsidR="00E83416" w:rsidRPr="00042F16" w:rsidRDefault="00E83416" w:rsidP="00E83416">
            <w:pPr>
              <w:jc w:val="center"/>
              <w:rPr>
                <w:rFonts w:ascii="Verdana" w:hAnsi="Verdana"/>
                <w:sz w:val="20"/>
                <w:szCs w:val="20"/>
              </w:rPr>
            </w:pPr>
            <w:r w:rsidRPr="00042F16">
              <w:rPr>
                <w:rFonts w:ascii="Verdana" w:hAnsi="Verdana"/>
                <w:sz w:val="20"/>
                <w:szCs w:val="20"/>
              </w:rPr>
              <w:t>LFR</w:t>
            </w:r>
          </w:p>
        </w:tc>
        <w:tc>
          <w:tcPr>
            <w:tcW w:w="1250" w:type="pct"/>
            <w:vAlign w:val="center"/>
          </w:tcPr>
          <w:p w14:paraId="4C1F76FE" w14:textId="73936706" w:rsidR="00E83416" w:rsidRPr="00042F16" w:rsidRDefault="00E83416" w:rsidP="00E83416">
            <w:pPr>
              <w:jc w:val="center"/>
              <w:rPr>
                <w:rFonts w:ascii="Verdana" w:hAnsi="Verdana"/>
                <w:sz w:val="20"/>
                <w:szCs w:val="20"/>
              </w:rPr>
            </w:pPr>
            <w:r w:rsidRPr="00042F16">
              <w:rPr>
                <w:rFonts w:ascii="Verdana" w:hAnsi="Verdana"/>
                <w:sz w:val="20"/>
                <w:szCs w:val="20"/>
              </w:rPr>
              <w:t>Yearly</w:t>
            </w:r>
          </w:p>
        </w:tc>
        <w:tc>
          <w:tcPr>
            <w:tcW w:w="1250" w:type="pct"/>
            <w:vAlign w:val="center"/>
          </w:tcPr>
          <w:p w14:paraId="6E24D49F" w14:textId="05C7403D" w:rsidR="00E83416" w:rsidRPr="00042F16" w:rsidRDefault="00E83416" w:rsidP="00E83416">
            <w:pPr>
              <w:jc w:val="center"/>
              <w:rPr>
                <w:rFonts w:ascii="Verdana" w:hAnsi="Verdana"/>
                <w:sz w:val="20"/>
                <w:szCs w:val="20"/>
              </w:rPr>
            </w:pPr>
            <w:r w:rsidRPr="0065464B">
              <w:rPr>
                <w:rFonts w:ascii="Verdana" w:hAnsi="Verdana"/>
                <w:sz w:val="20"/>
                <w:szCs w:val="20"/>
              </w:rPr>
              <w:t>External auditors (supervised by Finances)</w:t>
            </w:r>
          </w:p>
        </w:tc>
        <w:tc>
          <w:tcPr>
            <w:tcW w:w="1250" w:type="pct"/>
            <w:vAlign w:val="center"/>
          </w:tcPr>
          <w:p w14:paraId="15FDDC9D" w14:textId="546DB341" w:rsidR="00E83416" w:rsidRPr="00042F16" w:rsidRDefault="00E83416" w:rsidP="00E83416">
            <w:pPr>
              <w:jc w:val="center"/>
              <w:rPr>
                <w:rFonts w:ascii="Verdana" w:hAnsi="Verdana"/>
                <w:sz w:val="20"/>
                <w:szCs w:val="20"/>
              </w:rPr>
            </w:pPr>
            <w:r w:rsidRPr="00042F16">
              <w:rPr>
                <w:rFonts w:ascii="Verdana" w:hAnsi="Verdana"/>
                <w:sz w:val="20"/>
                <w:szCs w:val="20"/>
              </w:rPr>
              <w:t>CSSF and CACRM</w:t>
            </w:r>
          </w:p>
        </w:tc>
      </w:tr>
      <w:tr w:rsidR="00E83416" w:rsidRPr="00042F16" w14:paraId="2C870389" w14:textId="77777777" w:rsidTr="007E7755">
        <w:tc>
          <w:tcPr>
            <w:tcW w:w="1250" w:type="pct"/>
            <w:vAlign w:val="center"/>
          </w:tcPr>
          <w:p w14:paraId="5FBC2EC2" w14:textId="7D538FA3" w:rsidR="00E83416" w:rsidRPr="00042F16" w:rsidRDefault="00E83416" w:rsidP="00E83416">
            <w:pPr>
              <w:jc w:val="center"/>
              <w:rPr>
                <w:rFonts w:ascii="Verdana" w:hAnsi="Verdana"/>
                <w:sz w:val="20"/>
                <w:szCs w:val="20"/>
              </w:rPr>
            </w:pPr>
            <w:r w:rsidRPr="00042F16">
              <w:rPr>
                <w:rFonts w:ascii="Verdana" w:hAnsi="Verdana"/>
                <w:sz w:val="20"/>
                <w:szCs w:val="20"/>
              </w:rPr>
              <w:t>Recovery Plan</w:t>
            </w:r>
          </w:p>
        </w:tc>
        <w:tc>
          <w:tcPr>
            <w:tcW w:w="1250" w:type="pct"/>
            <w:vAlign w:val="center"/>
          </w:tcPr>
          <w:p w14:paraId="515AC17C" w14:textId="47F0F86E" w:rsidR="00E83416" w:rsidRPr="00042F16" w:rsidRDefault="00E83416" w:rsidP="00E83416">
            <w:pPr>
              <w:jc w:val="center"/>
              <w:rPr>
                <w:rFonts w:ascii="Verdana" w:hAnsi="Verdana"/>
                <w:sz w:val="20"/>
                <w:szCs w:val="20"/>
              </w:rPr>
            </w:pPr>
            <w:r w:rsidRPr="00042F16">
              <w:rPr>
                <w:rFonts w:ascii="Verdana" w:hAnsi="Verdana"/>
                <w:sz w:val="20"/>
                <w:szCs w:val="20"/>
              </w:rPr>
              <w:t>Every two years</w:t>
            </w:r>
          </w:p>
        </w:tc>
        <w:tc>
          <w:tcPr>
            <w:tcW w:w="1250" w:type="pct"/>
            <w:vAlign w:val="center"/>
          </w:tcPr>
          <w:p w14:paraId="21BD994D" w14:textId="762ACDAF" w:rsidR="00E83416" w:rsidRPr="00042F16" w:rsidRDefault="00E83416" w:rsidP="00E83416">
            <w:pPr>
              <w:jc w:val="center"/>
              <w:rPr>
                <w:rFonts w:ascii="Verdana" w:hAnsi="Verdana"/>
                <w:sz w:val="20"/>
                <w:szCs w:val="20"/>
              </w:rPr>
            </w:pPr>
            <w:r w:rsidRPr="00042F16">
              <w:rPr>
                <w:rFonts w:ascii="Verdana" w:hAnsi="Verdana"/>
                <w:sz w:val="20"/>
                <w:szCs w:val="20"/>
              </w:rPr>
              <w:t>RM</w:t>
            </w:r>
          </w:p>
        </w:tc>
        <w:tc>
          <w:tcPr>
            <w:tcW w:w="1250" w:type="pct"/>
            <w:vAlign w:val="center"/>
          </w:tcPr>
          <w:p w14:paraId="01AEDDFE" w14:textId="47F810E4" w:rsidR="00E83416" w:rsidRPr="00042F16" w:rsidRDefault="00E83416" w:rsidP="00E83416">
            <w:pPr>
              <w:jc w:val="center"/>
              <w:rPr>
                <w:rFonts w:ascii="Verdana" w:hAnsi="Verdana"/>
                <w:sz w:val="20"/>
                <w:szCs w:val="20"/>
              </w:rPr>
            </w:pPr>
            <w:r w:rsidRPr="00042F16">
              <w:rPr>
                <w:rFonts w:ascii="Verdana" w:hAnsi="Verdana"/>
                <w:sz w:val="20"/>
                <w:szCs w:val="20"/>
              </w:rPr>
              <w:t>BNB</w:t>
            </w:r>
          </w:p>
        </w:tc>
      </w:tr>
      <w:tr w:rsidR="00E83416" w:rsidRPr="00042F16" w14:paraId="5528CE64" w14:textId="77777777" w:rsidTr="007E7755">
        <w:tc>
          <w:tcPr>
            <w:tcW w:w="1250" w:type="pct"/>
            <w:vAlign w:val="center"/>
          </w:tcPr>
          <w:p w14:paraId="12A63776" w14:textId="02777A04" w:rsidR="00E83416" w:rsidRPr="00042F16" w:rsidRDefault="00E83416" w:rsidP="00E83416">
            <w:pPr>
              <w:jc w:val="center"/>
              <w:rPr>
                <w:rFonts w:ascii="Verdana" w:hAnsi="Verdana"/>
                <w:sz w:val="20"/>
                <w:szCs w:val="20"/>
              </w:rPr>
            </w:pPr>
            <w:r w:rsidRPr="00042F16">
              <w:rPr>
                <w:rFonts w:ascii="Verdana" w:hAnsi="Verdana"/>
                <w:sz w:val="20"/>
                <w:szCs w:val="20"/>
              </w:rPr>
              <w:t>Internal Control Function report</w:t>
            </w:r>
          </w:p>
        </w:tc>
        <w:tc>
          <w:tcPr>
            <w:tcW w:w="1250" w:type="pct"/>
            <w:vAlign w:val="center"/>
          </w:tcPr>
          <w:p w14:paraId="0DAA7506" w14:textId="1C810A38" w:rsidR="00E83416" w:rsidRPr="00042F16" w:rsidRDefault="00E83416" w:rsidP="00E83416">
            <w:pPr>
              <w:jc w:val="center"/>
              <w:rPr>
                <w:rFonts w:ascii="Verdana" w:hAnsi="Verdana"/>
                <w:sz w:val="20"/>
                <w:szCs w:val="20"/>
              </w:rPr>
            </w:pPr>
            <w:r w:rsidRPr="00042F16">
              <w:rPr>
                <w:rFonts w:ascii="Verdana" w:hAnsi="Verdana"/>
                <w:sz w:val="20"/>
                <w:szCs w:val="20"/>
              </w:rPr>
              <w:t>Yearly</w:t>
            </w:r>
          </w:p>
        </w:tc>
        <w:tc>
          <w:tcPr>
            <w:tcW w:w="1250" w:type="pct"/>
            <w:vAlign w:val="center"/>
          </w:tcPr>
          <w:p w14:paraId="5F5821C6" w14:textId="75F3ADC4" w:rsidR="00E83416" w:rsidRPr="00042F16" w:rsidRDefault="00E83416" w:rsidP="00E83416">
            <w:pPr>
              <w:jc w:val="center"/>
              <w:rPr>
                <w:rFonts w:ascii="Verdana" w:hAnsi="Verdana"/>
                <w:sz w:val="20"/>
                <w:szCs w:val="20"/>
              </w:rPr>
            </w:pPr>
            <w:r w:rsidRPr="00042F16">
              <w:rPr>
                <w:rFonts w:ascii="Verdana" w:hAnsi="Verdana"/>
                <w:sz w:val="20"/>
                <w:szCs w:val="20"/>
              </w:rPr>
              <w:t>RM</w:t>
            </w:r>
            <w:r>
              <w:rPr>
                <w:rFonts w:ascii="Verdana" w:hAnsi="Verdana"/>
                <w:sz w:val="20"/>
                <w:szCs w:val="20"/>
              </w:rPr>
              <w:t xml:space="preserve"> </w:t>
            </w:r>
            <w:r w:rsidRPr="0065464B">
              <w:rPr>
                <w:rFonts w:ascii="Verdana" w:hAnsi="Verdana"/>
                <w:sz w:val="20"/>
                <w:szCs w:val="20"/>
              </w:rPr>
              <w:t>/ Compliance / Internal Audit</w:t>
            </w:r>
          </w:p>
        </w:tc>
        <w:tc>
          <w:tcPr>
            <w:tcW w:w="1250" w:type="pct"/>
            <w:vAlign w:val="center"/>
          </w:tcPr>
          <w:p w14:paraId="5314846B" w14:textId="0DEE38B3" w:rsidR="00E83416" w:rsidRPr="00042F16" w:rsidRDefault="00E83416" w:rsidP="00E83416">
            <w:pPr>
              <w:jc w:val="center"/>
              <w:rPr>
                <w:rFonts w:ascii="Verdana" w:hAnsi="Verdana"/>
                <w:sz w:val="20"/>
                <w:szCs w:val="20"/>
              </w:rPr>
            </w:pPr>
            <w:r>
              <w:rPr>
                <w:rFonts w:ascii="Verdana" w:hAnsi="Verdana"/>
                <w:sz w:val="20"/>
                <w:szCs w:val="20"/>
              </w:rPr>
              <w:t>CSSF and BNB</w:t>
            </w:r>
          </w:p>
        </w:tc>
      </w:tr>
      <w:tr w:rsidR="00E83416" w:rsidRPr="00042F16" w14:paraId="63557AEC" w14:textId="77777777" w:rsidTr="007E7755">
        <w:tc>
          <w:tcPr>
            <w:tcW w:w="1250" w:type="pct"/>
            <w:vAlign w:val="center"/>
          </w:tcPr>
          <w:p w14:paraId="5AAC37A4" w14:textId="6DACDABE" w:rsidR="00E83416" w:rsidRPr="00042F16" w:rsidRDefault="00E83416" w:rsidP="00E83416">
            <w:pPr>
              <w:jc w:val="center"/>
              <w:rPr>
                <w:rFonts w:ascii="Verdana" w:hAnsi="Verdana"/>
                <w:sz w:val="20"/>
                <w:szCs w:val="20"/>
              </w:rPr>
            </w:pPr>
            <w:r w:rsidRPr="00042F16">
              <w:rPr>
                <w:rFonts w:ascii="Verdana" w:hAnsi="Verdana"/>
                <w:sz w:val="20"/>
                <w:szCs w:val="20"/>
              </w:rPr>
              <w:t>Stress tests results</w:t>
            </w:r>
          </w:p>
        </w:tc>
        <w:tc>
          <w:tcPr>
            <w:tcW w:w="1250" w:type="pct"/>
            <w:vAlign w:val="center"/>
          </w:tcPr>
          <w:p w14:paraId="1BDF7F0C" w14:textId="56DE3665" w:rsidR="00E83416" w:rsidRPr="00042F16" w:rsidRDefault="00E83416" w:rsidP="00E83416">
            <w:pPr>
              <w:jc w:val="center"/>
              <w:rPr>
                <w:rFonts w:ascii="Verdana" w:hAnsi="Verdana"/>
                <w:sz w:val="20"/>
                <w:szCs w:val="20"/>
              </w:rPr>
            </w:pPr>
            <w:r w:rsidRPr="00042F16">
              <w:rPr>
                <w:rFonts w:ascii="Verdana" w:hAnsi="Verdana"/>
                <w:sz w:val="20"/>
                <w:szCs w:val="20"/>
              </w:rPr>
              <w:t>Semi-annually</w:t>
            </w:r>
          </w:p>
        </w:tc>
        <w:tc>
          <w:tcPr>
            <w:tcW w:w="1250" w:type="pct"/>
            <w:vAlign w:val="center"/>
          </w:tcPr>
          <w:p w14:paraId="6819BB7C" w14:textId="4B3B20E4" w:rsidR="00E83416" w:rsidRPr="00042F16" w:rsidRDefault="00E83416" w:rsidP="00E83416">
            <w:pPr>
              <w:jc w:val="center"/>
              <w:rPr>
                <w:rFonts w:ascii="Verdana" w:hAnsi="Verdana"/>
                <w:sz w:val="20"/>
                <w:szCs w:val="20"/>
              </w:rPr>
            </w:pPr>
            <w:r w:rsidRPr="00042F16">
              <w:rPr>
                <w:rFonts w:ascii="Verdana" w:hAnsi="Verdana"/>
                <w:sz w:val="20"/>
                <w:szCs w:val="20"/>
              </w:rPr>
              <w:t>RM</w:t>
            </w:r>
          </w:p>
        </w:tc>
        <w:tc>
          <w:tcPr>
            <w:tcW w:w="1250" w:type="pct"/>
            <w:vAlign w:val="center"/>
          </w:tcPr>
          <w:p w14:paraId="3E3A72DE" w14:textId="05D80BDF" w:rsidR="00E83416" w:rsidRPr="00042F16" w:rsidRDefault="00E83416" w:rsidP="00E83416">
            <w:pPr>
              <w:jc w:val="center"/>
              <w:rPr>
                <w:rFonts w:ascii="Verdana" w:hAnsi="Verdana"/>
                <w:sz w:val="20"/>
                <w:szCs w:val="20"/>
              </w:rPr>
            </w:pPr>
            <w:r w:rsidRPr="00042F16">
              <w:rPr>
                <w:rFonts w:ascii="Verdana" w:hAnsi="Verdana"/>
                <w:sz w:val="20"/>
                <w:szCs w:val="20"/>
              </w:rPr>
              <w:t>CSSF</w:t>
            </w:r>
          </w:p>
        </w:tc>
      </w:tr>
    </w:tbl>
    <w:p w14:paraId="7583019F" w14:textId="77777777" w:rsidR="00F71FFD" w:rsidRPr="00042F16" w:rsidRDefault="00F71FFD" w:rsidP="00042F16">
      <w:pPr>
        <w:spacing w:after="0" w:line="240" w:lineRule="auto"/>
        <w:rPr>
          <w:rFonts w:ascii="Verdana" w:hAnsi="Verdana"/>
          <w:sz w:val="20"/>
          <w:szCs w:val="20"/>
        </w:rPr>
      </w:pPr>
    </w:p>
    <w:p w14:paraId="749F38BC" w14:textId="1070998D" w:rsidR="005B1C2A" w:rsidRPr="00563B2C" w:rsidRDefault="00117D22" w:rsidP="00042F16">
      <w:pPr>
        <w:pStyle w:val="Heading2"/>
        <w:spacing w:before="0" w:line="240" w:lineRule="auto"/>
        <w:ind w:left="567" w:hanging="567"/>
        <w:rPr>
          <w:rFonts w:ascii="Verdana" w:hAnsi="Verdana"/>
          <w:b/>
          <w:color w:val="6CACE4"/>
          <w:sz w:val="22"/>
          <w:szCs w:val="22"/>
        </w:rPr>
      </w:pPr>
      <w:bookmarkStart w:id="15" w:name="_Toc22716580"/>
      <w:r w:rsidRPr="00563B2C">
        <w:rPr>
          <w:rFonts w:ascii="Verdana" w:hAnsi="Verdana"/>
          <w:b/>
          <w:color w:val="6CACE4"/>
          <w:sz w:val="22"/>
          <w:szCs w:val="22"/>
        </w:rPr>
        <w:t>Risk Appetite</w:t>
      </w:r>
      <w:bookmarkEnd w:id="15"/>
    </w:p>
    <w:p w14:paraId="793ED5A4" w14:textId="77777777" w:rsidR="00042F16" w:rsidRPr="00042F16" w:rsidRDefault="00042F16" w:rsidP="00042F16">
      <w:pPr>
        <w:spacing w:after="0" w:line="240" w:lineRule="auto"/>
      </w:pPr>
    </w:p>
    <w:p w14:paraId="60EF1EF2" w14:textId="18685E03" w:rsidR="00117D22" w:rsidRPr="00042F16" w:rsidRDefault="00117D22" w:rsidP="00042F16">
      <w:pPr>
        <w:spacing w:after="0" w:line="240" w:lineRule="auto"/>
        <w:rPr>
          <w:rFonts w:ascii="Verdana" w:hAnsi="Verdana"/>
          <w:sz w:val="20"/>
          <w:szCs w:val="20"/>
        </w:rPr>
      </w:pPr>
      <w:r w:rsidRPr="00042F16">
        <w:rPr>
          <w:rFonts w:ascii="Verdana" w:hAnsi="Verdana"/>
          <w:sz w:val="20"/>
          <w:szCs w:val="20"/>
        </w:rPr>
        <w:t xml:space="preserve">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shall decide on acceptable and not acceptable types of risk. As a general guideline, 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shall accept risks which</w:t>
      </w:r>
      <w:r w:rsidR="00F83534" w:rsidRPr="00042F16">
        <w:rPr>
          <w:rFonts w:ascii="Verdana" w:hAnsi="Verdana"/>
          <w:sz w:val="20"/>
          <w:szCs w:val="20"/>
        </w:rPr>
        <w:t xml:space="preserve"> are within the agreed risk</w:t>
      </w:r>
      <w:r w:rsidRPr="00042F16">
        <w:rPr>
          <w:rFonts w:ascii="Verdana" w:hAnsi="Verdana"/>
          <w:sz w:val="20"/>
          <w:szCs w:val="20"/>
        </w:rPr>
        <w:t xml:space="preserve"> appetite by type of risk. Risks exceeding the decided level of risk appetite shall not be accepted.</w:t>
      </w:r>
    </w:p>
    <w:p w14:paraId="15501528" w14:textId="77777777" w:rsidR="00563B2C" w:rsidRDefault="00563B2C" w:rsidP="00042F16">
      <w:pPr>
        <w:spacing w:after="0" w:line="240" w:lineRule="auto"/>
        <w:rPr>
          <w:rFonts w:ascii="Verdana" w:hAnsi="Verdana"/>
          <w:sz w:val="20"/>
          <w:szCs w:val="20"/>
        </w:rPr>
      </w:pPr>
    </w:p>
    <w:p w14:paraId="50831FDA" w14:textId="3D499850" w:rsidR="00117D22" w:rsidRPr="00042F16" w:rsidRDefault="002F2ED1" w:rsidP="00042F16">
      <w:pPr>
        <w:spacing w:after="0" w:line="240" w:lineRule="auto"/>
        <w:rPr>
          <w:rFonts w:ascii="Verdana" w:hAnsi="Verdana"/>
          <w:sz w:val="20"/>
          <w:szCs w:val="20"/>
        </w:rPr>
      </w:pPr>
      <w:r w:rsidRPr="00042F16">
        <w:rPr>
          <w:rFonts w:ascii="Verdana" w:hAnsi="Verdana"/>
          <w:sz w:val="20"/>
          <w:szCs w:val="20"/>
        </w:rPr>
        <w:t>The Company</w:t>
      </w:r>
      <w:r w:rsidR="00117D22" w:rsidRPr="00042F16">
        <w:rPr>
          <w:rFonts w:ascii="Verdana" w:hAnsi="Verdana"/>
          <w:sz w:val="20"/>
          <w:szCs w:val="20"/>
        </w:rPr>
        <w:t xml:space="preserve"> considers its risk appetite as a proprietary information and opts therefore for non-disclosure in accordance with CRR Art. 432(2).</w:t>
      </w:r>
    </w:p>
    <w:p w14:paraId="3DE22414" w14:textId="77777777" w:rsidR="00F71FFD" w:rsidRPr="00042F16" w:rsidRDefault="00F71FFD" w:rsidP="00042F16">
      <w:pPr>
        <w:spacing w:after="0" w:line="240" w:lineRule="auto"/>
        <w:rPr>
          <w:rFonts w:ascii="Verdana" w:hAnsi="Verdana"/>
          <w:sz w:val="20"/>
          <w:szCs w:val="20"/>
        </w:rPr>
      </w:pPr>
    </w:p>
    <w:p w14:paraId="41CAA4DE" w14:textId="77777777" w:rsidR="00674595" w:rsidRPr="00563B2C" w:rsidRDefault="00674595" w:rsidP="00042F16">
      <w:pPr>
        <w:pStyle w:val="Heading2"/>
        <w:spacing w:before="0" w:line="240" w:lineRule="auto"/>
        <w:ind w:left="567" w:hanging="567"/>
        <w:rPr>
          <w:rFonts w:ascii="Verdana" w:hAnsi="Verdana"/>
          <w:b/>
          <w:color w:val="6CACE4"/>
          <w:sz w:val="22"/>
          <w:szCs w:val="22"/>
        </w:rPr>
      </w:pPr>
      <w:bookmarkStart w:id="16" w:name="_Toc21277209"/>
      <w:bookmarkStart w:id="17" w:name="_Toc22716581"/>
      <w:r w:rsidRPr="00563B2C">
        <w:rPr>
          <w:rFonts w:ascii="Verdana" w:hAnsi="Verdana"/>
          <w:b/>
          <w:color w:val="6CACE4"/>
          <w:sz w:val="22"/>
          <w:szCs w:val="22"/>
        </w:rPr>
        <w:t>Recruitment policy (Art. 435 (2</w:t>
      </w:r>
      <w:proofErr w:type="gramStart"/>
      <w:r w:rsidRPr="00563B2C">
        <w:rPr>
          <w:rFonts w:ascii="Verdana" w:hAnsi="Verdana"/>
          <w:b/>
          <w:color w:val="6CACE4"/>
          <w:sz w:val="22"/>
          <w:szCs w:val="22"/>
        </w:rPr>
        <w:t>)(</w:t>
      </w:r>
      <w:proofErr w:type="gramEnd"/>
      <w:r w:rsidRPr="00563B2C">
        <w:rPr>
          <w:rFonts w:ascii="Verdana" w:hAnsi="Verdana"/>
          <w:b/>
          <w:color w:val="6CACE4"/>
          <w:sz w:val="22"/>
          <w:szCs w:val="22"/>
        </w:rPr>
        <w:t>b))</w:t>
      </w:r>
      <w:bookmarkEnd w:id="16"/>
      <w:bookmarkEnd w:id="17"/>
    </w:p>
    <w:p w14:paraId="7A96DCE0" w14:textId="77777777" w:rsidR="00042F16" w:rsidRPr="00042F16" w:rsidRDefault="00042F16" w:rsidP="00042F16">
      <w:pPr>
        <w:spacing w:after="0" w:line="240" w:lineRule="auto"/>
      </w:pPr>
    </w:p>
    <w:p w14:paraId="683F8654" w14:textId="7D169B50" w:rsidR="00674595" w:rsidRPr="00042F16" w:rsidRDefault="00674595" w:rsidP="00042F16">
      <w:pPr>
        <w:spacing w:after="0" w:line="240" w:lineRule="auto"/>
        <w:rPr>
          <w:rFonts w:ascii="Verdana" w:hAnsi="Verdana"/>
          <w:sz w:val="20"/>
          <w:szCs w:val="20"/>
        </w:rPr>
      </w:pPr>
      <w:bookmarkStart w:id="18" w:name="_Toc21277210"/>
      <w:r w:rsidRPr="00042F16">
        <w:rPr>
          <w:rFonts w:ascii="Verdana" w:hAnsi="Verdana"/>
          <w:sz w:val="20"/>
          <w:szCs w:val="20"/>
        </w:rPr>
        <w:t xml:space="preserve">The Foyer S.A. Remuneration and Nomination Committee acts for </w:t>
      </w:r>
      <w:r w:rsidR="00083346" w:rsidRPr="00042F16">
        <w:rPr>
          <w:rFonts w:ascii="Verdana" w:hAnsi="Verdana"/>
          <w:sz w:val="20"/>
          <w:szCs w:val="20"/>
        </w:rPr>
        <w:t>The Company</w:t>
      </w:r>
      <w:r w:rsidRPr="00042F16">
        <w:rPr>
          <w:rFonts w:ascii="Verdana" w:hAnsi="Verdana"/>
          <w:sz w:val="20"/>
          <w:szCs w:val="20"/>
        </w:rPr>
        <w:t xml:space="preserve">. </w:t>
      </w:r>
    </w:p>
    <w:p w14:paraId="6686A693" w14:textId="49F770C3" w:rsidR="00674595" w:rsidRPr="00042F16" w:rsidRDefault="00674595" w:rsidP="00042F16">
      <w:pPr>
        <w:spacing w:after="0" w:line="240" w:lineRule="auto"/>
        <w:rPr>
          <w:rFonts w:ascii="Verdana" w:hAnsi="Verdana"/>
          <w:sz w:val="20"/>
          <w:szCs w:val="20"/>
        </w:rPr>
      </w:pPr>
      <w:r w:rsidRPr="00042F16">
        <w:rPr>
          <w:rFonts w:ascii="Verdana" w:hAnsi="Verdana"/>
          <w:sz w:val="20"/>
          <w:szCs w:val="20"/>
        </w:rPr>
        <w:t xml:space="preserve">The Committee ensures a succession plan for 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as well as for the </w:t>
      </w:r>
      <w:r w:rsidR="008249FD" w:rsidRPr="00042F16">
        <w:rPr>
          <w:rFonts w:ascii="Verdana" w:hAnsi="Verdana"/>
          <w:sz w:val="20"/>
          <w:szCs w:val="20"/>
        </w:rPr>
        <w:t>EC</w:t>
      </w:r>
      <w:r w:rsidRPr="00042F16">
        <w:rPr>
          <w:rFonts w:ascii="Verdana" w:hAnsi="Verdana"/>
          <w:sz w:val="20"/>
          <w:szCs w:val="20"/>
        </w:rPr>
        <w:t>. At the age of 70</w:t>
      </w:r>
      <w:r w:rsidR="00021E1D" w:rsidRPr="00042F16">
        <w:rPr>
          <w:rFonts w:ascii="Verdana" w:hAnsi="Verdana"/>
          <w:sz w:val="20"/>
          <w:szCs w:val="20"/>
        </w:rPr>
        <w:t>,</w:t>
      </w:r>
      <w:r w:rsidRPr="00042F16">
        <w:rPr>
          <w:rFonts w:ascii="Verdana" w:hAnsi="Verdana"/>
          <w:sz w:val="20"/>
          <w:szCs w:val="20"/>
        </w:rPr>
        <w:t xml:space="preserve"> </w:t>
      </w:r>
      <w:r w:rsidR="00021E1D" w:rsidRPr="00042F16">
        <w:rPr>
          <w:rFonts w:ascii="Verdana" w:hAnsi="Verdana"/>
          <w:sz w:val="20"/>
          <w:szCs w:val="20"/>
        </w:rPr>
        <w:t xml:space="preserve">most </w:t>
      </w:r>
      <w:r w:rsidRPr="00042F16">
        <w:rPr>
          <w:rFonts w:ascii="Verdana" w:hAnsi="Verdana"/>
          <w:sz w:val="20"/>
          <w:szCs w:val="20"/>
        </w:rPr>
        <w:t xml:space="preserve">members of 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resign from their position. </w:t>
      </w:r>
    </w:p>
    <w:p w14:paraId="7C50BF08" w14:textId="085BBC98" w:rsidR="00674595" w:rsidRDefault="00674595" w:rsidP="00042F16">
      <w:pPr>
        <w:spacing w:after="0" w:line="240" w:lineRule="auto"/>
        <w:rPr>
          <w:rFonts w:ascii="Verdana" w:hAnsi="Verdana"/>
          <w:sz w:val="20"/>
          <w:szCs w:val="20"/>
        </w:rPr>
      </w:pPr>
      <w:r w:rsidRPr="00042F16">
        <w:rPr>
          <w:rFonts w:ascii="Verdana" w:hAnsi="Verdana"/>
          <w:sz w:val="20"/>
          <w:szCs w:val="20"/>
        </w:rPr>
        <w:t xml:space="preserve">The committee ensures that the composition of the </w:t>
      </w:r>
      <w:r w:rsidR="008249FD" w:rsidRPr="00042F16">
        <w:rPr>
          <w:rFonts w:ascii="Verdana" w:hAnsi="Verdana"/>
          <w:sz w:val="20"/>
          <w:szCs w:val="20"/>
        </w:rPr>
        <w:t>EC</w:t>
      </w:r>
      <w:r w:rsidRPr="00042F16">
        <w:rPr>
          <w:rFonts w:ascii="Verdana" w:hAnsi="Verdana"/>
          <w:sz w:val="20"/>
          <w:szCs w:val="20"/>
        </w:rPr>
        <w:t xml:space="preserve"> and 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is in line with </w:t>
      </w:r>
      <w:r w:rsidR="008249FD" w:rsidRPr="00042F16">
        <w:rPr>
          <w:rFonts w:ascii="Verdana" w:hAnsi="Verdana"/>
          <w:sz w:val="20"/>
          <w:szCs w:val="20"/>
        </w:rPr>
        <w:t>T</w:t>
      </w:r>
      <w:r w:rsidRPr="00042F16">
        <w:rPr>
          <w:rFonts w:ascii="Verdana" w:hAnsi="Verdana"/>
          <w:sz w:val="20"/>
          <w:szCs w:val="20"/>
        </w:rPr>
        <w:t xml:space="preserve">he Company’s area of activity. </w:t>
      </w:r>
    </w:p>
    <w:p w14:paraId="69F3601C" w14:textId="77777777" w:rsidR="00042F16" w:rsidRPr="00042F16" w:rsidRDefault="00042F16" w:rsidP="00042F16">
      <w:pPr>
        <w:spacing w:after="0" w:line="240" w:lineRule="auto"/>
        <w:rPr>
          <w:rFonts w:ascii="Verdana" w:hAnsi="Verdana"/>
          <w:sz w:val="20"/>
          <w:szCs w:val="20"/>
        </w:rPr>
      </w:pPr>
    </w:p>
    <w:p w14:paraId="2D70D307" w14:textId="054A6F3B" w:rsidR="00674595" w:rsidRPr="00042F16" w:rsidRDefault="00851FCD" w:rsidP="00042F16">
      <w:pPr>
        <w:pStyle w:val="Caption"/>
        <w:spacing w:after="0"/>
        <w:rPr>
          <w:rFonts w:ascii="Verdana" w:hAnsi="Verdana"/>
          <w:color w:val="auto"/>
          <w:sz w:val="20"/>
          <w:szCs w:val="20"/>
        </w:rPr>
      </w:pPr>
      <w:bookmarkStart w:id="19" w:name="_Toc22716627"/>
      <w:r w:rsidRPr="00042F16">
        <w:rPr>
          <w:rFonts w:ascii="Verdana" w:hAnsi="Verdana"/>
          <w:color w:val="auto"/>
          <w:sz w:val="20"/>
          <w:szCs w:val="20"/>
        </w:rPr>
        <w:t xml:space="preserve">Table </w:t>
      </w:r>
      <w:r w:rsidRPr="00042F16">
        <w:rPr>
          <w:rFonts w:ascii="Verdana" w:hAnsi="Verdana"/>
          <w:color w:val="auto"/>
          <w:sz w:val="20"/>
          <w:szCs w:val="20"/>
        </w:rPr>
        <w:fldChar w:fldCharType="begin"/>
      </w:r>
      <w:r w:rsidRPr="00042F16">
        <w:rPr>
          <w:rFonts w:ascii="Verdana" w:hAnsi="Verdana"/>
          <w:color w:val="auto"/>
          <w:sz w:val="20"/>
          <w:szCs w:val="20"/>
        </w:rPr>
        <w:instrText xml:space="preserve"> SEQ Table \* ARABIC </w:instrText>
      </w:r>
      <w:r w:rsidRPr="00042F16">
        <w:rPr>
          <w:rFonts w:ascii="Verdana" w:hAnsi="Verdana"/>
          <w:color w:val="auto"/>
          <w:sz w:val="20"/>
          <w:szCs w:val="20"/>
        </w:rPr>
        <w:fldChar w:fldCharType="separate"/>
      </w:r>
      <w:r w:rsidR="00E7065A" w:rsidRPr="00042F16">
        <w:rPr>
          <w:rFonts w:ascii="Verdana" w:hAnsi="Verdana"/>
          <w:noProof/>
          <w:color w:val="auto"/>
          <w:sz w:val="20"/>
          <w:szCs w:val="20"/>
        </w:rPr>
        <w:t>3</w:t>
      </w:r>
      <w:r w:rsidRPr="00042F16">
        <w:rPr>
          <w:rFonts w:ascii="Verdana" w:hAnsi="Verdana"/>
          <w:color w:val="auto"/>
          <w:sz w:val="20"/>
          <w:szCs w:val="20"/>
        </w:rPr>
        <w:fldChar w:fldCharType="end"/>
      </w:r>
      <w:r w:rsidRPr="00042F16">
        <w:rPr>
          <w:rFonts w:ascii="Verdana" w:hAnsi="Verdana"/>
          <w:color w:val="auto"/>
          <w:sz w:val="20"/>
          <w:szCs w:val="20"/>
        </w:rPr>
        <w:t>: Composition of the Remuneration and Nomination Committee</w:t>
      </w:r>
      <w:bookmarkEnd w:id="19"/>
    </w:p>
    <w:tbl>
      <w:tblPr>
        <w:tblStyle w:val="TableGrid"/>
        <w:tblW w:w="0" w:type="auto"/>
        <w:tblLook w:val="04A0" w:firstRow="1" w:lastRow="0" w:firstColumn="1" w:lastColumn="0" w:noHBand="0" w:noVBand="1"/>
      </w:tblPr>
      <w:tblGrid>
        <w:gridCol w:w="9350"/>
      </w:tblGrid>
      <w:tr w:rsidR="00883CEA" w:rsidRPr="00042F16" w14:paraId="61F424F3" w14:textId="77777777" w:rsidTr="00563B2C">
        <w:tc>
          <w:tcPr>
            <w:tcW w:w="9350" w:type="dxa"/>
            <w:shd w:val="clear" w:color="auto" w:fill="6CACE4"/>
          </w:tcPr>
          <w:p w14:paraId="5C5C74A7" w14:textId="77777777" w:rsidR="00674595" w:rsidRPr="00042F16" w:rsidRDefault="00674595" w:rsidP="00042F16">
            <w:pPr>
              <w:rPr>
                <w:rFonts w:ascii="Verdana" w:hAnsi="Verdana"/>
                <w:b/>
                <w:color w:val="FFFFFF" w:themeColor="background1"/>
                <w:sz w:val="20"/>
                <w:szCs w:val="20"/>
              </w:rPr>
            </w:pPr>
            <w:r w:rsidRPr="00042F16">
              <w:rPr>
                <w:rFonts w:ascii="Verdana" w:hAnsi="Verdana"/>
                <w:b/>
                <w:color w:val="FFFFFF" w:themeColor="background1"/>
                <w:sz w:val="20"/>
                <w:szCs w:val="20"/>
              </w:rPr>
              <w:t>Members of the Remuneration and Nomination Committee</w:t>
            </w:r>
          </w:p>
        </w:tc>
      </w:tr>
      <w:tr w:rsidR="00674595" w:rsidRPr="00042F16" w14:paraId="51D72B9A" w14:textId="77777777" w:rsidTr="00674595">
        <w:tc>
          <w:tcPr>
            <w:tcW w:w="9350" w:type="dxa"/>
          </w:tcPr>
          <w:p w14:paraId="6E3A68E6" w14:textId="77777777" w:rsidR="00674595" w:rsidRPr="00042F16" w:rsidRDefault="00674595" w:rsidP="00042F16">
            <w:pPr>
              <w:rPr>
                <w:rFonts w:ascii="Verdana" w:hAnsi="Verdana"/>
                <w:sz w:val="20"/>
                <w:szCs w:val="20"/>
              </w:rPr>
            </w:pPr>
            <w:proofErr w:type="spellStart"/>
            <w:r w:rsidRPr="00042F16">
              <w:rPr>
                <w:rFonts w:ascii="Verdana" w:hAnsi="Verdana"/>
                <w:sz w:val="20"/>
                <w:szCs w:val="20"/>
              </w:rPr>
              <w:t>Romain</w:t>
            </w:r>
            <w:proofErr w:type="spellEnd"/>
            <w:r w:rsidRPr="00042F16">
              <w:rPr>
                <w:rFonts w:ascii="Verdana" w:hAnsi="Verdana"/>
                <w:sz w:val="20"/>
                <w:szCs w:val="20"/>
              </w:rPr>
              <w:t xml:space="preserve"> Becker (Chairman)</w:t>
            </w:r>
          </w:p>
        </w:tc>
      </w:tr>
      <w:tr w:rsidR="00674595" w:rsidRPr="00042F16" w14:paraId="7DAE5158" w14:textId="77777777" w:rsidTr="00674595">
        <w:tc>
          <w:tcPr>
            <w:tcW w:w="9350" w:type="dxa"/>
          </w:tcPr>
          <w:p w14:paraId="46B08A16" w14:textId="77777777" w:rsidR="00674595" w:rsidRPr="00042F16" w:rsidRDefault="00674595" w:rsidP="00042F16">
            <w:pPr>
              <w:rPr>
                <w:rFonts w:ascii="Verdana" w:hAnsi="Verdana"/>
                <w:sz w:val="20"/>
                <w:szCs w:val="20"/>
              </w:rPr>
            </w:pPr>
            <w:r w:rsidRPr="00042F16">
              <w:rPr>
                <w:rFonts w:ascii="Verdana" w:hAnsi="Verdana"/>
                <w:sz w:val="20"/>
                <w:szCs w:val="20"/>
              </w:rPr>
              <w:t xml:space="preserve">François </w:t>
            </w:r>
            <w:proofErr w:type="spellStart"/>
            <w:r w:rsidRPr="00042F16">
              <w:rPr>
                <w:rFonts w:ascii="Verdana" w:hAnsi="Verdana"/>
                <w:sz w:val="20"/>
                <w:szCs w:val="20"/>
              </w:rPr>
              <w:t>Tesch</w:t>
            </w:r>
            <w:proofErr w:type="spellEnd"/>
          </w:p>
        </w:tc>
      </w:tr>
      <w:tr w:rsidR="00674595" w:rsidRPr="00042F16" w14:paraId="248CBC4E" w14:textId="77777777" w:rsidTr="00674595">
        <w:tc>
          <w:tcPr>
            <w:tcW w:w="9350" w:type="dxa"/>
          </w:tcPr>
          <w:p w14:paraId="237397A1" w14:textId="77777777" w:rsidR="00674595" w:rsidRPr="00042F16" w:rsidRDefault="00674595" w:rsidP="00042F16">
            <w:pPr>
              <w:rPr>
                <w:rFonts w:ascii="Verdana" w:hAnsi="Verdana"/>
                <w:sz w:val="20"/>
                <w:szCs w:val="20"/>
              </w:rPr>
            </w:pPr>
            <w:r w:rsidRPr="00042F16">
              <w:rPr>
                <w:rFonts w:ascii="Verdana" w:hAnsi="Verdana"/>
                <w:sz w:val="20"/>
                <w:szCs w:val="20"/>
              </w:rPr>
              <w:t xml:space="preserve">Michel </w:t>
            </w:r>
            <w:proofErr w:type="spellStart"/>
            <w:r w:rsidRPr="00042F16">
              <w:rPr>
                <w:rFonts w:ascii="Verdana" w:hAnsi="Verdana"/>
                <w:sz w:val="20"/>
                <w:szCs w:val="20"/>
              </w:rPr>
              <w:t>Tilmant</w:t>
            </w:r>
            <w:proofErr w:type="spellEnd"/>
          </w:p>
        </w:tc>
      </w:tr>
      <w:tr w:rsidR="00674595" w:rsidRPr="00042F16" w14:paraId="6FB4E858" w14:textId="77777777" w:rsidTr="00674595">
        <w:tc>
          <w:tcPr>
            <w:tcW w:w="9350" w:type="dxa"/>
          </w:tcPr>
          <w:p w14:paraId="4620B462" w14:textId="77777777" w:rsidR="00674595" w:rsidRPr="00042F16" w:rsidRDefault="00674595" w:rsidP="00042F16">
            <w:pPr>
              <w:rPr>
                <w:rFonts w:ascii="Verdana" w:hAnsi="Verdana"/>
                <w:sz w:val="20"/>
                <w:szCs w:val="20"/>
              </w:rPr>
            </w:pPr>
            <w:r w:rsidRPr="00042F16">
              <w:rPr>
                <w:rFonts w:ascii="Verdana" w:hAnsi="Verdana"/>
                <w:sz w:val="20"/>
                <w:szCs w:val="20"/>
              </w:rPr>
              <w:t xml:space="preserve">Nathalie </w:t>
            </w:r>
            <w:proofErr w:type="spellStart"/>
            <w:r w:rsidRPr="00042F16">
              <w:rPr>
                <w:rFonts w:ascii="Verdana" w:hAnsi="Verdana"/>
                <w:sz w:val="20"/>
                <w:szCs w:val="20"/>
              </w:rPr>
              <w:t>Worré</w:t>
            </w:r>
            <w:proofErr w:type="spellEnd"/>
          </w:p>
        </w:tc>
      </w:tr>
      <w:tr w:rsidR="00674595" w:rsidRPr="00042F16" w14:paraId="2FCA472F" w14:textId="77777777" w:rsidTr="00674595">
        <w:tc>
          <w:tcPr>
            <w:tcW w:w="9350" w:type="dxa"/>
          </w:tcPr>
          <w:p w14:paraId="0A426285" w14:textId="77777777" w:rsidR="00674595" w:rsidRPr="00042F16" w:rsidRDefault="00674595" w:rsidP="00042F16">
            <w:pPr>
              <w:rPr>
                <w:rFonts w:ascii="Verdana" w:hAnsi="Verdana"/>
                <w:sz w:val="20"/>
                <w:szCs w:val="20"/>
              </w:rPr>
            </w:pPr>
            <w:proofErr w:type="spellStart"/>
            <w:r w:rsidRPr="00042F16">
              <w:rPr>
                <w:rFonts w:ascii="Verdana" w:hAnsi="Verdana"/>
                <w:sz w:val="20"/>
                <w:szCs w:val="20"/>
              </w:rPr>
              <w:t>Benoît</w:t>
            </w:r>
            <w:proofErr w:type="spellEnd"/>
            <w:r w:rsidRPr="00042F16">
              <w:rPr>
                <w:rFonts w:ascii="Verdana" w:hAnsi="Verdana"/>
                <w:sz w:val="20"/>
                <w:szCs w:val="20"/>
              </w:rPr>
              <w:t xml:space="preserve"> </w:t>
            </w:r>
            <w:proofErr w:type="spellStart"/>
            <w:r w:rsidRPr="00042F16">
              <w:rPr>
                <w:rFonts w:ascii="Verdana" w:hAnsi="Verdana"/>
                <w:sz w:val="20"/>
                <w:szCs w:val="20"/>
              </w:rPr>
              <w:t>Dourte</w:t>
            </w:r>
            <w:proofErr w:type="spellEnd"/>
            <w:r w:rsidRPr="00042F16">
              <w:rPr>
                <w:rFonts w:ascii="Verdana" w:hAnsi="Verdana"/>
                <w:sz w:val="20"/>
                <w:szCs w:val="20"/>
              </w:rPr>
              <w:t>, (Secretary)</w:t>
            </w:r>
          </w:p>
        </w:tc>
      </w:tr>
    </w:tbl>
    <w:p w14:paraId="7E1998C2" w14:textId="77777777" w:rsidR="00674595" w:rsidRPr="00042F16" w:rsidRDefault="00674595" w:rsidP="00042F16">
      <w:pPr>
        <w:spacing w:after="0" w:line="240" w:lineRule="auto"/>
        <w:rPr>
          <w:rFonts w:ascii="Verdana" w:hAnsi="Verdana"/>
          <w:sz w:val="20"/>
          <w:szCs w:val="20"/>
        </w:rPr>
      </w:pPr>
    </w:p>
    <w:p w14:paraId="706F6F01" w14:textId="77777777" w:rsidR="00674595" w:rsidRPr="00563B2C" w:rsidRDefault="00674595" w:rsidP="00042F16">
      <w:pPr>
        <w:pStyle w:val="Heading2"/>
        <w:spacing w:before="0" w:line="240" w:lineRule="auto"/>
        <w:ind w:left="567" w:hanging="567"/>
        <w:rPr>
          <w:rFonts w:ascii="Verdana" w:hAnsi="Verdana"/>
          <w:b/>
          <w:color w:val="6CACE4"/>
          <w:sz w:val="22"/>
          <w:szCs w:val="22"/>
        </w:rPr>
      </w:pPr>
      <w:bookmarkStart w:id="20" w:name="_Toc22716582"/>
      <w:r w:rsidRPr="00563B2C">
        <w:rPr>
          <w:rFonts w:ascii="Verdana" w:hAnsi="Verdana"/>
          <w:b/>
          <w:color w:val="6CACE4"/>
          <w:sz w:val="22"/>
          <w:szCs w:val="22"/>
        </w:rPr>
        <w:t>Diversity policy (Art. 435 (2</w:t>
      </w:r>
      <w:proofErr w:type="gramStart"/>
      <w:r w:rsidRPr="00563B2C">
        <w:rPr>
          <w:rFonts w:ascii="Verdana" w:hAnsi="Verdana"/>
          <w:b/>
          <w:color w:val="6CACE4"/>
          <w:sz w:val="22"/>
          <w:szCs w:val="22"/>
        </w:rPr>
        <w:t>)(</w:t>
      </w:r>
      <w:proofErr w:type="gramEnd"/>
      <w:r w:rsidRPr="00563B2C">
        <w:rPr>
          <w:rFonts w:ascii="Verdana" w:hAnsi="Verdana"/>
          <w:b/>
          <w:color w:val="6CACE4"/>
          <w:sz w:val="22"/>
          <w:szCs w:val="22"/>
        </w:rPr>
        <w:t>c))</w:t>
      </w:r>
      <w:bookmarkEnd w:id="18"/>
      <w:bookmarkEnd w:id="20"/>
    </w:p>
    <w:p w14:paraId="5AE8A929" w14:textId="77777777" w:rsidR="00042F16" w:rsidRPr="00042F16" w:rsidRDefault="00042F16" w:rsidP="00042F16">
      <w:pPr>
        <w:spacing w:after="0" w:line="240" w:lineRule="auto"/>
      </w:pPr>
    </w:p>
    <w:p w14:paraId="7247C618" w14:textId="0701D78A" w:rsidR="00DF1554" w:rsidRPr="00042F16" w:rsidRDefault="00DF1554" w:rsidP="00042F16">
      <w:pPr>
        <w:spacing w:after="0" w:line="240" w:lineRule="auto"/>
        <w:rPr>
          <w:rFonts w:ascii="Verdana" w:hAnsi="Verdana"/>
          <w:sz w:val="20"/>
          <w:szCs w:val="20"/>
        </w:rPr>
      </w:pPr>
      <w:r w:rsidRPr="00042F16">
        <w:rPr>
          <w:rFonts w:ascii="Verdana" w:hAnsi="Verdana"/>
          <w:sz w:val="20"/>
          <w:szCs w:val="20"/>
        </w:rPr>
        <w:t>The Remuneration and Nomination Committee ensures diversity in the competences</w:t>
      </w:r>
      <w:r w:rsidR="00A1027E" w:rsidRPr="00042F16">
        <w:rPr>
          <w:rFonts w:ascii="Verdana" w:hAnsi="Verdana"/>
          <w:sz w:val="20"/>
          <w:szCs w:val="20"/>
        </w:rPr>
        <w:t xml:space="preserve"> of the Board members</w:t>
      </w:r>
      <w:r w:rsidRPr="00042F16">
        <w:rPr>
          <w:rFonts w:ascii="Verdana" w:hAnsi="Verdana"/>
          <w:sz w:val="20"/>
          <w:szCs w:val="20"/>
        </w:rPr>
        <w:t xml:space="preserve">. The Committee aims at ensuring </w:t>
      </w:r>
      <w:r w:rsidR="00A1027E" w:rsidRPr="00042F16">
        <w:rPr>
          <w:rFonts w:ascii="Verdana" w:hAnsi="Verdana"/>
          <w:sz w:val="20"/>
          <w:szCs w:val="20"/>
        </w:rPr>
        <w:t>there is a</w:t>
      </w:r>
      <w:r w:rsidRPr="00042F16">
        <w:rPr>
          <w:rFonts w:ascii="Verdana" w:hAnsi="Verdana"/>
          <w:sz w:val="20"/>
          <w:szCs w:val="20"/>
        </w:rPr>
        <w:t xml:space="preserve"> </w:t>
      </w:r>
      <w:r w:rsidR="00A1027E" w:rsidRPr="00042F16">
        <w:rPr>
          <w:rFonts w:ascii="Verdana" w:hAnsi="Verdana"/>
          <w:sz w:val="20"/>
          <w:szCs w:val="20"/>
        </w:rPr>
        <w:t>combined expertise in</w:t>
      </w:r>
      <w:r w:rsidRPr="00042F16">
        <w:rPr>
          <w:rFonts w:ascii="Verdana" w:hAnsi="Verdana"/>
          <w:sz w:val="20"/>
          <w:szCs w:val="20"/>
        </w:rPr>
        <w:t xml:space="preserve"> finance, economics and law, </w:t>
      </w:r>
      <w:r w:rsidR="00A1027E" w:rsidRPr="00042F16">
        <w:rPr>
          <w:rFonts w:ascii="Verdana" w:hAnsi="Verdana"/>
          <w:sz w:val="20"/>
          <w:szCs w:val="20"/>
        </w:rPr>
        <w:t>employed in</w:t>
      </w:r>
      <w:r w:rsidRPr="00042F16">
        <w:rPr>
          <w:rFonts w:ascii="Verdana" w:hAnsi="Verdana"/>
          <w:sz w:val="20"/>
          <w:szCs w:val="20"/>
        </w:rPr>
        <w:t xml:space="preserve"> different functions within </w:t>
      </w:r>
      <w:r w:rsidR="008249FD" w:rsidRPr="00042F16">
        <w:rPr>
          <w:rFonts w:ascii="Verdana" w:hAnsi="Verdana"/>
          <w:sz w:val="20"/>
          <w:szCs w:val="20"/>
        </w:rPr>
        <w:t>T</w:t>
      </w:r>
      <w:r w:rsidRPr="00042F16">
        <w:rPr>
          <w:rFonts w:ascii="Verdana" w:hAnsi="Verdana"/>
          <w:sz w:val="20"/>
          <w:szCs w:val="20"/>
        </w:rPr>
        <w:t xml:space="preserve">he Company. </w:t>
      </w:r>
    </w:p>
    <w:p w14:paraId="00DACFCD" w14:textId="77777777" w:rsidR="00563B2C" w:rsidRDefault="00563B2C" w:rsidP="00042F16">
      <w:pPr>
        <w:spacing w:after="0" w:line="240" w:lineRule="auto"/>
        <w:rPr>
          <w:rFonts w:ascii="Verdana" w:hAnsi="Verdana"/>
          <w:sz w:val="20"/>
          <w:szCs w:val="20"/>
        </w:rPr>
      </w:pPr>
    </w:p>
    <w:p w14:paraId="79E58727" w14:textId="144A7883" w:rsidR="009F5E59" w:rsidRDefault="00DF1554" w:rsidP="00563B2C">
      <w:pPr>
        <w:spacing w:after="0" w:line="240" w:lineRule="auto"/>
        <w:rPr>
          <w:rFonts w:ascii="Verdana" w:hAnsi="Verdana"/>
          <w:sz w:val="20"/>
          <w:szCs w:val="20"/>
        </w:rPr>
      </w:pPr>
      <w:r w:rsidRPr="00042F16">
        <w:rPr>
          <w:rFonts w:ascii="Verdana" w:hAnsi="Verdana"/>
          <w:sz w:val="20"/>
          <w:szCs w:val="20"/>
        </w:rPr>
        <w:t xml:space="preserve">Another important </w:t>
      </w:r>
      <w:proofErr w:type="spellStart"/>
      <w:r w:rsidRPr="00042F16">
        <w:rPr>
          <w:rFonts w:ascii="Verdana" w:hAnsi="Verdana"/>
          <w:sz w:val="20"/>
          <w:szCs w:val="20"/>
        </w:rPr>
        <w:t>criteri</w:t>
      </w:r>
      <w:r w:rsidR="00971244" w:rsidRPr="00042F16">
        <w:rPr>
          <w:rFonts w:ascii="Verdana" w:hAnsi="Verdana"/>
          <w:sz w:val="20"/>
          <w:szCs w:val="20"/>
        </w:rPr>
        <w:t>um</w:t>
      </w:r>
      <w:proofErr w:type="spellEnd"/>
      <w:r w:rsidRPr="00042F16">
        <w:rPr>
          <w:rFonts w:ascii="Verdana" w:hAnsi="Verdana"/>
          <w:sz w:val="20"/>
          <w:szCs w:val="20"/>
        </w:rPr>
        <w:t xml:space="preserve"> for the Committee is the experience in management functions in other companies.</w:t>
      </w:r>
    </w:p>
    <w:p w14:paraId="07FDFE27" w14:textId="77777777" w:rsidR="00563B2C" w:rsidRPr="00042F16" w:rsidRDefault="00563B2C" w:rsidP="00563B2C">
      <w:pPr>
        <w:spacing w:after="0" w:line="240" w:lineRule="auto"/>
        <w:rPr>
          <w:rFonts w:ascii="Verdana" w:hAnsi="Verdana"/>
          <w:sz w:val="20"/>
          <w:szCs w:val="20"/>
        </w:rPr>
      </w:pPr>
    </w:p>
    <w:p w14:paraId="6A5E4FC0" w14:textId="55F04D6E" w:rsidR="00117D22" w:rsidRPr="00563B2C" w:rsidRDefault="00117D22" w:rsidP="00563B2C">
      <w:pPr>
        <w:pStyle w:val="Heading1"/>
        <w:spacing w:before="0" w:after="0" w:line="240" w:lineRule="auto"/>
        <w:ind w:left="567" w:hanging="567"/>
        <w:rPr>
          <w:rFonts w:ascii="Verdana" w:hAnsi="Verdana"/>
          <w:b/>
          <w:color w:val="6CACE4"/>
          <w:sz w:val="24"/>
          <w:szCs w:val="24"/>
          <w:u w:val="single"/>
        </w:rPr>
      </w:pPr>
      <w:bookmarkStart w:id="21" w:name="_Toc20822759"/>
      <w:bookmarkStart w:id="22" w:name="_Toc21277211"/>
      <w:bookmarkStart w:id="23" w:name="_Toc21599357"/>
      <w:bookmarkStart w:id="24" w:name="_Toc21617205"/>
      <w:bookmarkStart w:id="25" w:name="_Toc22716583"/>
      <w:bookmarkEnd w:id="21"/>
      <w:bookmarkEnd w:id="22"/>
      <w:bookmarkEnd w:id="23"/>
      <w:bookmarkEnd w:id="24"/>
      <w:r w:rsidRPr="00563B2C">
        <w:rPr>
          <w:rFonts w:ascii="Verdana" w:hAnsi="Verdana"/>
          <w:b/>
          <w:color w:val="6CACE4"/>
          <w:sz w:val="24"/>
          <w:szCs w:val="24"/>
          <w:u w:val="single"/>
        </w:rPr>
        <w:t>Own Funds (Art. 437 CRR)</w:t>
      </w:r>
      <w:bookmarkEnd w:id="25"/>
    </w:p>
    <w:p w14:paraId="2AAE6336" w14:textId="77777777" w:rsidR="00042F16" w:rsidRPr="00042F16" w:rsidRDefault="00042F16" w:rsidP="00563B2C">
      <w:pPr>
        <w:spacing w:after="0" w:line="240" w:lineRule="auto"/>
      </w:pPr>
    </w:p>
    <w:p w14:paraId="6D8E3D89" w14:textId="22B9AB66" w:rsidR="00117D22" w:rsidRPr="00042F16" w:rsidRDefault="00117D22" w:rsidP="00563B2C">
      <w:pPr>
        <w:spacing w:after="0" w:line="240" w:lineRule="auto"/>
        <w:rPr>
          <w:rFonts w:ascii="Verdana" w:hAnsi="Verdana"/>
          <w:sz w:val="20"/>
          <w:szCs w:val="20"/>
        </w:rPr>
      </w:pPr>
      <w:r w:rsidRPr="00042F16">
        <w:rPr>
          <w:rFonts w:ascii="Verdana" w:hAnsi="Verdana"/>
          <w:sz w:val="20"/>
          <w:szCs w:val="20"/>
        </w:rPr>
        <w:t xml:space="preserve">The aim of capital management is to guarantee </w:t>
      </w:r>
      <w:r w:rsidR="00384A4B" w:rsidRPr="00042F16">
        <w:rPr>
          <w:rFonts w:ascii="Verdana" w:hAnsi="Verdana"/>
          <w:sz w:val="20"/>
          <w:szCs w:val="20"/>
        </w:rPr>
        <w:t>t</w:t>
      </w:r>
      <w:r w:rsidR="008249FD" w:rsidRPr="00042F16">
        <w:rPr>
          <w:rFonts w:ascii="Verdana" w:hAnsi="Verdana"/>
          <w:sz w:val="20"/>
          <w:szCs w:val="20"/>
        </w:rPr>
        <w:t xml:space="preserve">he Company’s </w:t>
      </w:r>
      <w:r w:rsidRPr="00042F16">
        <w:rPr>
          <w:rFonts w:ascii="Verdana" w:hAnsi="Verdana"/>
          <w:sz w:val="20"/>
          <w:szCs w:val="20"/>
        </w:rPr>
        <w:t xml:space="preserve">solvency and sustain its profitability, while ensuring compliance with internal capital objectives and regulatory </w:t>
      </w:r>
      <w:r w:rsidR="00466295" w:rsidRPr="00042F16">
        <w:rPr>
          <w:rFonts w:ascii="Verdana" w:hAnsi="Verdana"/>
          <w:sz w:val="20"/>
          <w:szCs w:val="20"/>
        </w:rPr>
        <w:t xml:space="preserve">capital </w:t>
      </w:r>
      <w:r w:rsidRPr="00042F16">
        <w:rPr>
          <w:rFonts w:ascii="Verdana" w:hAnsi="Verdana"/>
          <w:sz w:val="20"/>
          <w:szCs w:val="20"/>
        </w:rPr>
        <w:t>requirements.</w:t>
      </w:r>
    </w:p>
    <w:p w14:paraId="7CA8D5F4" w14:textId="77777777" w:rsidR="00563B2C" w:rsidRDefault="00563B2C" w:rsidP="00563B2C">
      <w:pPr>
        <w:spacing w:after="0" w:line="240" w:lineRule="auto"/>
        <w:rPr>
          <w:rFonts w:ascii="Verdana" w:hAnsi="Verdana"/>
          <w:sz w:val="20"/>
          <w:szCs w:val="20"/>
        </w:rPr>
      </w:pPr>
    </w:p>
    <w:p w14:paraId="0C0B1B53" w14:textId="70A8B4E9" w:rsidR="00117D22" w:rsidRPr="00042F16" w:rsidRDefault="008249FD" w:rsidP="00563B2C">
      <w:pPr>
        <w:spacing w:after="0" w:line="240" w:lineRule="auto"/>
        <w:rPr>
          <w:rFonts w:ascii="Verdana" w:hAnsi="Verdana"/>
          <w:sz w:val="20"/>
          <w:szCs w:val="20"/>
        </w:rPr>
      </w:pPr>
      <w:r w:rsidRPr="00042F16">
        <w:rPr>
          <w:rFonts w:ascii="Verdana" w:hAnsi="Verdana"/>
          <w:sz w:val="20"/>
          <w:szCs w:val="20"/>
        </w:rPr>
        <w:t xml:space="preserve">The Company’s </w:t>
      </w:r>
      <w:r w:rsidR="00117D22" w:rsidRPr="00042F16">
        <w:rPr>
          <w:rFonts w:ascii="Verdana" w:hAnsi="Verdana"/>
          <w:sz w:val="20"/>
          <w:szCs w:val="20"/>
        </w:rPr>
        <w:t xml:space="preserve">supervisor, the Commission de Surveillance du </w:t>
      </w:r>
      <w:proofErr w:type="spellStart"/>
      <w:r w:rsidR="00117D22" w:rsidRPr="00042F16">
        <w:rPr>
          <w:rFonts w:ascii="Verdana" w:hAnsi="Verdana"/>
          <w:sz w:val="20"/>
          <w:szCs w:val="20"/>
        </w:rPr>
        <w:t>Secteur</w:t>
      </w:r>
      <w:proofErr w:type="spellEnd"/>
      <w:r w:rsidR="00117D22" w:rsidRPr="00042F16">
        <w:rPr>
          <w:rFonts w:ascii="Verdana" w:hAnsi="Verdana"/>
          <w:sz w:val="20"/>
          <w:szCs w:val="20"/>
        </w:rPr>
        <w:t xml:space="preserve"> Financier (CSSF) sets and monitors its capital requirements.</w:t>
      </w:r>
      <w:r w:rsidR="00466295" w:rsidRPr="00042F16">
        <w:rPr>
          <w:rFonts w:ascii="Verdana" w:hAnsi="Verdana"/>
          <w:sz w:val="20"/>
          <w:szCs w:val="20"/>
        </w:rPr>
        <w:t xml:space="preserve"> Additionally, the capital requirements of </w:t>
      </w:r>
      <w:proofErr w:type="spellStart"/>
      <w:r w:rsidR="00466295" w:rsidRPr="00042F16">
        <w:rPr>
          <w:rFonts w:ascii="Verdana" w:hAnsi="Verdana"/>
          <w:sz w:val="20"/>
          <w:szCs w:val="20"/>
        </w:rPr>
        <w:t>C</w:t>
      </w:r>
      <w:r w:rsidR="00EE1B50" w:rsidRPr="00042F16">
        <w:rPr>
          <w:rFonts w:ascii="Verdana" w:hAnsi="Verdana"/>
          <w:sz w:val="20"/>
          <w:szCs w:val="20"/>
        </w:rPr>
        <w:t>apitalatWork</w:t>
      </w:r>
      <w:proofErr w:type="spellEnd"/>
      <w:r w:rsidR="00EE1B50" w:rsidRPr="00042F16">
        <w:rPr>
          <w:rFonts w:ascii="Verdana" w:hAnsi="Verdana"/>
          <w:sz w:val="20"/>
          <w:szCs w:val="20"/>
        </w:rPr>
        <w:t xml:space="preserve"> S.A.</w:t>
      </w:r>
      <w:r w:rsidR="00466295" w:rsidRPr="00042F16">
        <w:rPr>
          <w:rFonts w:ascii="Verdana" w:hAnsi="Verdana"/>
          <w:sz w:val="20"/>
          <w:szCs w:val="20"/>
        </w:rPr>
        <w:t xml:space="preserve"> are monitored by the BNB. </w:t>
      </w:r>
      <w:r w:rsidR="00117D22" w:rsidRPr="00042F16">
        <w:rPr>
          <w:rFonts w:ascii="Verdana" w:hAnsi="Verdana"/>
          <w:sz w:val="20"/>
          <w:szCs w:val="20"/>
        </w:rPr>
        <w:t>According to applicable regulations relating to capital adequacy, financial institutions are required to dispose of sufficient capital resources to cover different types of risks.</w:t>
      </w:r>
    </w:p>
    <w:p w14:paraId="7424DA16" w14:textId="77777777" w:rsidR="00563B2C" w:rsidRDefault="00563B2C" w:rsidP="00563B2C">
      <w:pPr>
        <w:spacing w:after="0" w:line="240" w:lineRule="auto"/>
        <w:rPr>
          <w:rFonts w:ascii="Verdana" w:hAnsi="Verdana"/>
          <w:sz w:val="20"/>
          <w:szCs w:val="20"/>
        </w:rPr>
      </w:pPr>
    </w:p>
    <w:p w14:paraId="21240789" w14:textId="7A308C90" w:rsidR="00117D22" w:rsidRDefault="00117D22" w:rsidP="00563B2C">
      <w:pPr>
        <w:spacing w:after="0" w:line="240" w:lineRule="auto"/>
        <w:rPr>
          <w:rFonts w:ascii="Verdana" w:hAnsi="Verdana"/>
          <w:sz w:val="20"/>
          <w:szCs w:val="20"/>
        </w:rPr>
      </w:pPr>
      <w:r w:rsidRPr="00042F16">
        <w:rPr>
          <w:rFonts w:ascii="Verdana" w:hAnsi="Verdana"/>
          <w:sz w:val="20"/>
          <w:szCs w:val="20"/>
        </w:rPr>
        <w:t>With eff</w:t>
      </w:r>
      <w:r w:rsidR="00A87CDC" w:rsidRPr="00042F16">
        <w:rPr>
          <w:rFonts w:ascii="Verdana" w:hAnsi="Verdana"/>
          <w:sz w:val="20"/>
          <w:szCs w:val="20"/>
        </w:rPr>
        <w:t>ect from 1 January 2008</w:t>
      </w:r>
      <w:r w:rsidR="00EE1B50" w:rsidRPr="00042F16">
        <w:rPr>
          <w:rFonts w:ascii="Verdana" w:hAnsi="Verdana"/>
          <w:sz w:val="20"/>
          <w:szCs w:val="20"/>
        </w:rPr>
        <w:t>,</w:t>
      </w:r>
      <w:r w:rsidR="00A87CDC" w:rsidRPr="00042F16">
        <w:rPr>
          <w:rFonts w:ascii="Verdana" w:hAnsi="Verdana"/>
          <w:sz w:val="20"/>
          <w:szCs w:val="20"/>
        </w:rPr>
        <w:t xml:space="preserve"> </w:t>
      </w:r>
      <w:r w:rsidR="00EE1B50" w:rsidRPr="00042F16">
        <w:rPr>
          <w:rFonts w:ascii="Verdana" w:hAnsi="Verdana"/>
          <w:sz w:val="20"/>
          <w:szCs w:val="20"/>
        </w:rPr>
        <w:t>t</w:t>
      </w:r>
      <w:r w:rsidR="00A87CDC" w:rsidRPr="00042F16">
        <w:rPr>
          <w:rFonts w:ascii="Verdana" w:hAnsi="Verdana"/>
          <w:sz w:val="20"/>
          <w:szCs w:val="20"/>
        </w:rPr>
        <w:t>he Company</w:t>
      </w:r>
      <w:r w:rsidRPr="00042F16">
        <w:rPr>
          <w:rFonts w:ascii="Verdana" w:hAnsi="Verdana"/>
          <w:sz w:val="20"/>
          <w:szCs w:val="20"/>
        </w:rPr>
        <w:t xml:space="preserve"> is complying with the provisions of the Basel 2 framework in respect</w:t>
      </w:r>
      <w:r w:rsidR="00B32440" w:rsidRPr="00042F16">
        <w:rPr>
          <w:rFonts w:ascii="Verdana" w:hAnsi="Verdana"/>
          <w:sz w:val="20"/>
          <w:szCs w:val="20"/>
        </w:rPr>
        <w:t xml:space="preserve"> </w:t>
      </w:r>
      <w:r w:rsidR="00EE1B50" w:rsidRPr="00042F16">
        <w:rPr>
          <w:rFonts w:ascii="Verdana" w:hAnsi="Verdana"/>
          <w:sz w:val="20"/>
          <w:szCs w:val="20"/>
        </w:rPr>
        <w:t>with</w:t>
      </w:r>
      <w:r w:rsidR="00B32440" w:rsidRPr="00042F16">
        <w:rPr>
          <w:rFonts w:ascii="Verdana" w:hAnsi="Verdana"/>
          <w:sz w:val="20"/>
          <w:szCs w:val="20"/>
        </w:rPr>
        <w:t xml:space="preserve"> regulatory capital. The Company</w:t>
      </w:r>
      <w:r w:rsidRPr="00042F16">
        <w:rPr>
          <w:rFonts w:ascii="Verdana" w:hAnsi="Verdana"/>
          <w:sz w:val="20"/>
          <w:szCs w:val="20"/>
        </w:rPr>
        <w:t xml:space="preserve"> is following the standardised approach </w:t>
      </w:r>
      <w:r w:rsidR="00DF0FC6" w:rsidRPr="00042F16">
        <w:rPr>
          <w:rFonts w:ascii="Verdana" w:hAnsi="Verdana"/>
          <w:sz w:val="20"/>
          <w:szCs w:val="20"/>
        </w:rPr>
        <w:t>for</w:t>
      </w:r>
      <w:r w:rsidRPr="00042F16">
        <w:rPr>
          <w:rFonts w:ascii="Verdana" w:hAnsi="Verdana"/>
          <w:sz w:val="20"/>
          <w:szCs w:val="20"/>
        </w:rPr>
        <w:t xml:space="preserve"> credit risk </w:t>
      </w:r>
      <w:r w:rsidR="00DF0FC6" w:rsidRPr="00042F16">
        <w:rPr>
          <w:rFonts w:ascii="Verdana" w:hAnsi="Verdana"/>
          <w:sz w:val="20"/>
          <w:szCs w:val="20"/>
        </w:rPr>
        <w:t>and the b</w:t>
      </w:r>
      <w:r w:rsidR="00B32440" w:rsidRPr="00042F16">
        <w:rPr>
          <w:rFonts w:ascii="Verdana" w:hAnsi="Verdana"/>
          <w:sz w:val="20"/>
          <w:szCs w:val="20"/>
        </w:rPr>
        <w:t xml:space="preserve">asic indicator approach for Operational risk exposure </w:t>
      </w:r>
      <w:r w:rsidRPr="00042F16">
        <w:rPr>
          <w:rFonts w:ascii="Verdana" w:hAnsi="Verdana"/>
          <w:sz w:val="20"/>
          <w:szCs w:val="20"/>
        </w:rPr>
        <w:t xml:space="preserve">in order to calculate the Basel 2 Pillar </w:t>
      </w:r>
      <w:r w:rsidR="00F0185F" w:rsidRPr="00042F16">
        <w:rPr>
          <w:rFonts w:ascii="Verdana" w:hAnsi="Verdana"/>
          <w:sz w:val="20"/>
          <w:szCs w:val="20"/>
        </w:rPr>
        <w:t>I</w:t>
      </w:r>
      <w:r w:rsidRPr="00042F16">
        <w:rPr>
          <w:rFonts w:ascii="Verdana" w:hAnsi="Verdana"/>
          <w:sz w:val="20"/>
          <w:szCs w:val="20"/>
        </w:rPr>
        <w:t xml:space="preserve"> minimum requirements. Luxembourg </w:t>
      </w:r>
      <w:r w:rsidR="00466295" w:rsidRPr="00042F16">
        <w:rPr>
          <w:rFonts w:ascii="Verdana" w:hAnsi="Verdana"/>
          <w:sz w:val="20"/>
          <w:szCs w:val="20"/>
        </w:rPr>
        <w:t xml:space="preserve">and Belgium have </w:t>
      </w:r>
      <w:r w:rsidRPr="00042F16">
        <w:rPr>
          <w:rFonts w:ascii="Verdana" w:hAnsi="Verdana"/>
          <w:sz w:val="20"/>
          <w:szCs w:val="20"/>
        </w:rPr>
        <w:t>adopted</w:t>
      </w:r>
      <w:r w:rsidR="00466295" w:rsidRPr="00042F16">
        <w:rPr>
          <w:rFonts w:ascii="Verdana" w:hAnsi="Verdana"/>
          <w:sz w:val="20"/>
          <w:szCs w:val="20"/>
        </w:rPr>
        <w:t xml:space="preserve"> and implemented</w:t>
      </w:r>
      <w:r w:rsidR="004A6D4D" w:rsidRPr="00042F16">
        <w:rPr>
          <w:rFonts w:ascii="Verdana" w:hAnsi="Verdana"/>
          <w:sz w:val="20"/>
          <w:szCs w:val="20"/>
        </w:rPr>
        <w:t xml:space="preserve"> </w:t>
      </w:r>
      <w:r w:rsidRPr="00042F16">
        <w:rPr>
          <w:rFonts w:ascii="Verdana" w:hAnsi="Verdana"/>
          <w:sz w:val="20"/>
          <w:szCs w:val="20"/>
        </w:rPr>
        <w:t xml:space="preserve">the Capital </w:t>
      </w:r>
      <w:r w:rsidR="00DF0FC6" w:rsidRPr="00042F16">
        <w:rPr>
          <w:rFonts w:ascii="Verdana" w:hAnsi="Verdana"/>
          <w:sz w:val="20"/>
          <w:szCs w:val="20"/>
        </w:rPr>
        <w:t>R</w:t>
      </w:r>
      <w:r w:rsidRPr="00042F16">
        <w:rPr>
          <w:rFonts w:ascii="Verdana" w:hAnsi="Verdana"/>
          <w:sz w:val="20"/>
          <w:szCs w:val="20"/>
        </w:rPr>
        <w:t xml:space="preserve">equirements </w:t>
      </w:r>
      <w:r w:rsidR="00DF0FC6" w:rsidRPr="00042F16">
        <w:rPr>
          <w:rFonts w:ascii="Verdana" w:hAnsi="Verdana"/>
          <w:sz w:val="20"/>
          <w:szCs w:val="20"/>
        </w:rPr>
        <w:t>R</w:t>
      </w:r>
      <w:r w:rsidRPr="00042F16">
        <w:rPr>
          <w:rFonts w:ascii="Verdana" w:hAnsi="Verdana"/>
          <w:sz w:val="20"/>
          <w:szCs w:val="20"/>
        </w:rPr>
        <w:t xml:space="preserve">egulation and </w:t>
      </w:r>
      <w:r w:rsidR="00DF0FC6" w:rsidRPr="00042F16">
        <w:rPr>
          <w:rFonts w:ascii="Verdana" w:hAnsi="Verdana"/>
          <w:sz w:val="20"/>
          <w:szCs w:val="20"/>
        </w:rPr>
        <w:t>D</w:t>
      </w:r>
      <w:r w:rsidRPr="00042F16">
        <w:rPr>
          <w:rFonts w:ascii="Verdana" w:hAnsi="Verdana"/>
          <w:sz w:val="20"/>
          <w:szCs w:val="20"/>
        </w:rPr>
        <w:t>irective – CRR/CRD IV (Regulation (EU) No</w:t>
      </w:r>
      <w:r w:rsidR="00A87CDC" w:rsidRPr="00042F16">
        <w:rPr>
          <w:rFonts w:ascii="Verdana" w:hAnsi="Verdana"/>
          <w:sz w:val="20"/>
          <w:szCs w:val="20"/>
        </w:rPr>
        <w:t xml:space="preserve"> 575/2013)</w:t>
      </w:r>
      <w:r w:rsidR="00466295" w:rsidRPr="00042F16">
        <w:rPr>
          <w:rFonts w:ascii="Verdana" w:hAnsi="Verdana"/>
          <w:sz w:val="20"/>
          <w:szCs w:val="20"/>
        </w:rPr>
        <w:t>. As</w:t>
      </w:r>
      <w:r w:rsidR="00A87CDC" w:rsidRPr="00042F16">
        <w:rPr>
          <w:rFonts w:ascii="Verdana" w:hAnsi="Verdana"/>
          <w:sz w:val="20"/>
          <w:szCs w:val="20"/>
        </w:rPr>
        <w:t xml:space="preserve"> such</w:t>
      </w:r>
      <w:r w:rsidR="004A6D4D" w:rsidRPr="00042F16">
        <w:rPr>
          <w:rFonts w:ascii="Verdana" w:hAnsi="Verdana"/>
          <w:sz w:val="20"/>
          <w:szCs w:val="20"/>
        </w:rPr>
        <w:t>,</w:t>
      </w:r>
      <w:r w:rsidR="00A87CDC" w:rsidRPr="00042F16">
        <w:rPr>
          <w:rFonts w:ascii="Verdana" w:hAnsi="Verdana"/>
          <w:sz w:val="20"/>
          <w:szCs w:val="20"/>
        </w:rPr>
        <w:t xml:space="preserve"> </w:t>
      </w:r>
      <w:r w:rsidR="008249FD" w:rsidRPr="00042F16">
        <w:rPr>
          <w:rFonts w:ascii="Verdana" w:hAnsi="Verdana"/>
          <w:sz w:val="20"/>
          <w:szCs w:val="20"/>
        </w:rPr>
        <w:t xml:space="preserve">The Company </w:t>
      </w:r>
      <w:r w:rsidRPr="00042F16">
        <w:rPr>
          <w:rFonts w:ascii="Verdana" w:hAnsi="Verdana"/>
          <w:sz w:val="20"/>
          <w:szCs w:val="20"/>
        </w:rPr>
        <w:t>is subject to the Basel 3 requirements as impl</w:t>
      </w:r>
      <w:r w:rsidR="00A87CDC" w:rsidRPr="00042F16">
        <w:rPr>
          <w:rFonts w:ascii="Verdana" w:hAnsi="Verdana"/>
          <w:sz w:val="20"/>
          <w:szCs w:val="20"/>
        </w:rPr>
        <w:t xml:space="preserve">emented in the </w:t>
      </w:r>
      <w:r w:rsidRPr="00042F16">
        <w:rPr>
          <w:rFonts w:ascii="Verdana" w:hAnsi="Verdana"/>
          <w:sz w:val="20"/>
          <w:szCs w:val="20"/>
        </w:rPr>
        <w:t>regulation.</w:t>
      </w:r>
    </w:p>
    <w:p w14:paraId="2560F4D0" w14:textId="77777777" w:rsidR="00563B2C" w:rsidRDefault="00563B2C" w:rsidP="00563B2C">
      <w:pPr>
        <w:spacing w:after="0" w:line="240" w:lineRule="auto"/>
        <w:rPr>
          <w:rFonts w:ascii="Verdana" w:hAnsi="Verdana"/>
          <w:sz w:val="20"/>
          <w:szCs w:val="20"/>
        </w:rPr>
      </w:pPr>
    </w:p>
    <w:p w14:paraId="532C7FC7" w14:textId="21081F9B" w:rsidR="00577BB6" w:rsidRPr="00563B2C" w:rsidRDefault="00851FCD" w:rsidP="00563B2C">
      <w:pPr>
        <w:pStyle w:val="Caption"/>
        <w:spacing w:after="0"/>
        <w:rPr>
          <w:rFonts w:ascii="Verdana" w:hAnsi="Verdana"/>
          <w:color w:val="auto"/>
          <w:sz w:val="20"/>
          <w:szCs w:val="20"/>
        </w:rPr>
      </w:pPr>
      <w:bookmarkStart w:id="26" w:name="_Toc22716628"/>
      <w:r w:rsidRPr="00563B2C">
        <w:rPr>
          <w:rFonts w:ascii="Verdana" w:hAnsi="Verdana"/>
          <w:color w:val="auto"/>
          <w:sz w:val="20"/>
          <w:szCs w:val="20"/>
        </w:rPr>
        <w:t xml:space="preserve">Table </w:t>
      </w:r>
      <w:r w:rsidRPr="00563B2C">
        <w:rPr>
          <w:rFonts w:ascii="Verdana" w:hAnsi="Verdana"/>
          <w:color w:val="auto"/>
          <w:sz w:val="20"/>
          <w:szCs w:val="20"/>
        </w:rPr>
        <w:fldChar w:fldCharType="begin"/>
      </w:r>
      <w:r w:rsidRPr="00563B2C">
        <w:rPr>
          <w:rFonts w:ascii="Verdana" w:hAnsi="Verdana"/>
          <w:color w:val="auto"/>
          <w:sz w:val="20"/>
          <w:szCs w:val="20"/>
        </w:rPr>
        <w:instrText xml:space="preserve"> SEQ Table \* ARABIC </w:instrText>
      </w:r>
      <w:r w:rsidRPr="00563B2C">
        <w:rPr>
          <w:rFonts w:ascii="Verdana" w:hAnsi="Verdana"/>
          <w:color w:val="auto"/>
          <w:sz w:val="20"/>
          <w:szCs w:val="20"/>
        </w:rPr>
        <w:fldChar w:fldCharType="separate"/>
      </w:r>
      <w:r w:rsidR="00E7065A" w:rsidRPr="00563B2C">
        <w:rPr>
          <w:rFonts w:ascii="Verdana" w:hAnsi="Verdana"/>
          <w:noProof/>
          <w:color w:val="auto"/>
          <w:sz w:val="20"/>
          <w:szCs w:val="20"/>
        </w:rPr>
        <w:t>4</w:t>
      </w:r>
      <w:r w:rsidRPr="00563B2C">
        <w:rPr>
          <w:rFonts w:ascii="Verdana" w:hAnsi="Verdana"/>
          <w:color w:val="auto"/>
          <w:sz w:val="20"/>
          <w:szCs w:val="20"/>
        </w:rPr>
        <w:fldChar w:fldCharType="end"/>
      </w:r>
      <w:r w:rsidRPr="00563B2C">
        <w:rPr>
          <w:rFonts w:ascii="Verdana" w:hAnsi="Verdana"/>
          <w:color w:val="auto"/>
          <w:sz w:val="20"/>
          <w:szCs w:val="20"/>
        </w:rPr>
        <w:t>: Reconciliation of Common Equity Tier 1 between prudential and accounting view</w:t>
      </w:r>
      <w:bookmarkEnd w:id="26"/>
    </w:p>
    <w:tbl>
      <w:tblPr>
        <w:tblW w:w="5000" w:type="pct"/>
        <w:tblLook w:val="04A0" w:firstRow="1" w:lastRow="0" w:firstColumn="1" w:lastColumn="0" w:noHBand="0" w:noVBand="1"/>
      </w:tblPr>
      <w:tblGrid>
        <w:gridCol w:w="4824"/>
        <w:gridCol w:w="2315"/>
        <w:gridCol w:w="2316"/>
      </w:tblGrid>
      <w:tr w:rsidR="00883CEA" w:rsidRPr="00042F16" w14:paraId="64DDC7F3" w14:textId="77777777" w:rsidTr="00563B2C">
        <w:trPr>
          <w:trHeight w:val="341"/>
        </w:trPr>
        <w:tc>
          <w:tcPr>
            <w:tcW w:w="2551" w:type="pct"/>
            <w:tcBorders>
              <w:top w:val="single" w:sz="8" w:space="0" w:color="auto"/>
              <w:left w:val="single" w:sz="8" w:space="0" w:color="auto"/>
              <w:bottom w:val="nil"/>
              <w:right w:val="single" w:sz="4" w:space="0" w:color="000000"/>
            </w:tcBorders>
            <w:shd w:val="clear" w:color="auto" w:fill="6CACE4"/>
            <w:vAlign w:val="center"/>
          </w:tcPr>
          <w:p w14:paraId="27C7718A" w14:textId="77777777" w:rsidR="001D3D26" w:rsidRPr="00042F16" w:rsidRDefault="001D3D26" w:rsidP="00563B2C">
            <w:pPr>
              <w:spacing w:after="0" w:line="240" w:lineRule="auto"/>
              <w:rPr>
                <w:rFonts w:ascii="Verdana" w:hAnsi="Verdana"/>
                <w:color w:val="FFFFFF" w:themeColor="background1"/>
                <w:sz w:val="20"/>
                <w:szCs w:val="20"/>
                <w:lang w:eastAsia="en-GB"/>
              </w:rPr>
            </w:pPr>
          </w:p>
        </w:tc>
        <w:tc>
          <w:tcPr>
            <w:tcW w:w="2449" w:type="pct"/>
            <w:gridSpan w:val="2"/>
            <w:tcBorders>
              <w:top w:val="single" w:sz="8" w:space="0" w:color="auto"/>
              <w:left w:val="single" w:sz="4" w:space="0" w:color="000000"/>
              <w:bottom w:val="nil"/>
              <w:right w:val="single" w:sz="8" w:space="0" w:color="auto"/>
            </w:tcBorders>
            <w:shd w:val="clear" w:color="auto" w:fill="6CACE4"/>
            <w:vAlign w:val="center"/>
          </w:tcPr>
          <w:p w14:paraId="38245501" w14:textId="2CFE9345" w:rsidR="001D3D26" w:rsidRPr="00042F16" w:rsidRDefault="001D3D26" w:rsidP="00563B2C">
            <w:pPr>
              <w:spacing w:after="0" w:line="240" w:lineRule="auto"/>
              <w:jc w:val="center"/>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Capital</w:t>
            </w:r>
          </w:p>
        </w:tc>
      </w:tr>
      <w:tr w:rsidR="00883CEA" w:rsidRPr="00042F16" w14:paraId="0969D82B" w14:textId="72A348A4" w:rsidTr="00563B2C">
        <w:trPr>
          <w:trHeight w:val="390"/>
        </w:trPr>
        <w:tc>
          <w:tcPr>
            <w:tcW w:w="2551" w:type="pct"/>
            <w:tcBorders>
              <w:top w:val="single" w:sz="8" w:space="0" w:color="auto"/>
              <w:left w:val="single" w:sz="8" w:space="0" w:color="auto"/>
              <w:bottom w:val="nil"/>
              <w:right w:val="single" w:sz="4" w:space="0" w:color="000000"/>
            </w:tcBorders>
            <w:shd w:val="clear" w:color="auto" w:fill="6CACE4"/>
            <w:vAlign w:val="center"/>
            <w:hideMark/>
          </w:tcPr>
          <w:p w14:paraId="6D822FCE" w14:textId="77777777" w:rsidR="001D3D26" w:rsidRPr="00042F16" w:rsidRDefault="001D3D26" w:rsidP="00563B2C">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 (in €)</w:t>
            </w:r>
          </w:p>
        </w:tc>
        <w:tc>
          <w:tcPr>
            <w:tcW w:w="1224" w:type="pct"/>
            <w:tcBorders>
              <w:top w:val="single" w:sz="8" w:space="0" w:color="auto"/>
              <w:left w:val="single" w:sz="4" w:space="0" w:color="000000"/>
              <w:bottom w:val="nil"/>
              <w:right w:val="single" w:sz="8" w:space="0" w:color="auto"/>
            </w:tcBorders>
            <w:shd w:val="clear" w:color="auto" w:fill="6CACE4"/>
            <w:vAlign w:val="center"/>
            <w:hideMark/>
          </w:tcPr>
          <w:p w14:paraId="46C4DD47" w14:textId="44B13D23" w:rsidR="001D3D26" w:rsidRPr="00042F16" w:rsidRDefault="001D3D26" w:rsidP="00563B2C">
            <w:pPr>
              <w:spacing w:after="0" w:line="240" w:lineRule="auto"/>
              <w:jc w:val="center"/>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Prudential view</w:t>
            </w:r>
          </w:p>
        </w:tc>
        <w:tc>
          <w:tcPr>
            <w:tcW w:w="1225" w:type="pct"/>
            <w:tcBorders>
              <w:top w:val="single" w:sz="8" w:space="0" w:color="auto"/>
              <w:left w:val="nil"/>
              <w:bottom w:val="nil"/>
              <w:right w:val="single" w:sz="8" w:space="0" w:color="auto"/>
            </w:tcBorders>
            <w:shd w:val="clear" w:color="auto" w:fill="6CACE4"/>
            <w:vAlign w:val="center"/>
          </w:tcPr>
          <w:p w14:paraId="7D26AE4A" w14:textId="43AC7D05" w:rsidR="001D3D26" w:rsidRPr="00042F16" w:rsidRDefault="001D3D26" w:rsidP="00563B2C">
            <w:pPr>
              <w:spacing w:after="0" w:line="240" w:lineRule="auto"/>
              <w:jc w:val="center"/>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Accounting view</w:t>
            </w:r>
          </w:p>
        </w:tc>
      </w:tr>
      <w:tr w:rsidR="001D3D26" w:rsidRPr="00042F16" w14:paraId="13C2B8E8" w14:textId="4FF950AE" w:rsidTr="007E7755">
        <w:trPr>
          <w:trHeight w:val="300"/>
        </w:trPr>
        <w:tc>
          <w:tcPr>
            <w:tcW w:w="2551" w:type="pct"/>
            <w:tcBorders>
              <w:top w:val="nil"/>
              <w:left w:val="single" w:sz="8" w:space="0" w:color="auto"/>
              <w:bottom w:val="nil"/>
              <w:right w:val="single" w:sz="4" w:space="0" w:color="000000"/>
            </w:tcBorders>
            <w:shd w:val="clear" w:color="auto" w:fill="auto"/>
            <w:noWrap/>
            <w:vAlign w:val="bottom"/>
            <w:hideMark/>
          </w:tcPr>
          <w:p w14:paraId="3C96A843" w14:textId="3851CC49" w:rsidR="001D3D26" w:rsidRPr="00042F16" w:rsidRDefault="001D3D26" w:rsidP="00563B2C">
            <w:pPr>
              <w:spacing w:after="0" w:line="240" w:lineRule="auto"/>
              <w:rPr>
                <w:rFonts w:ascii="Verdana" w:hAnsi="Verdana"/>
                <w:sz w:val="20"/>
                <w:szCs w:val="20"/>
                <w:lang w:eastAsia="en-GB"/>
              </w:rPr>
            </w:pPr>
            <w:r w:rsidRPr="00042F16">
              <w:rPr>
                <w:rFonts w:ascii="Verdana" w:hAnsi="Verdana"/>
                <w:sz w:val="20"/>
                <w:szCs w:val="20"/>
                <w:lang w:eastAsia="en-GB"/>
              </w:rPr>
              <w:t>Paid up capital instruments</w:t>
            </w:r>
          </w:p>
        </w:tc>
        <w:tc>
          <w:tcPr>
            <w:tcW w:w="1224" w:type="pct"/>
            <w:tcBorders>
              <w:top w:val="nil"/>
              <w:left w:val="single" w:sz="4" w:space="0" w:color="000000"/>
              <w:bottom w:val="nil"/>
              <w:right w:val="single" w:sz="8" w:space="0" w:color="auto"/>
            </w:tcBorders>
            <w:shd w:val="clear" w:color="auto" w:fill="auto"/>
            <w:noWrap/>
            <w:vAlign w:val="center"/>
            <w:hideMark/>
          </w:tcPr>
          <w:p w14:paraId="42DF8373" w14:textId="1F0ACB3E" w:rsidR="001D3D26" w:rsidRPr="00042F16" w:rsidRDefault="001D3D26" w:rsidP="00563B2C">
            <w:pPr>
              <w:spacing w:after="0" w:line="240" w:lineRule="auto"/>
              <w:jc w:val="right"/>
              <w:rPr>
                <w:rFonts w:ascii="Verdana" w:hAnsi="Verdana"/>
                <w:sz w:val="20"/>
                <w:szCs w:val="20"/>
                <w:lang w:eastAsia="en-GB"/>
              </w:rPr>
            </w:pPr>
            <w:r w:rsidRPr="00042F16">
              <w:rPr>
                <w:rFonts w:ascii="Verdana" w:hAnsi="Verdana"/>
                <w:sz w:val="20"/>
                <w:szCs w:val="20"/>
                <w:lang w:eastAsia="en-GB"/>
              </w:rPr>
              <w:t>15,515,280</w:t>
            </w:r>
          </w:p>
        </w:tc>
        <w:tc>
          <w:tcPr>
            <w:tcW w:w="1225" w:type="pct"/>
            <w:tcBorders>
              <w:top w:val="nil"/>
              <w:left w:val="nil"/>
              <w:bottom w:val="nil"/>
              <w:right w:val="single" w:sz="8" w:space="0" w:color="auto"/>
            </w:tcBorders>
            <w:vAlign w:val="center"/>
          </w:tcPr>
          <w:p w14:paraId="2A991088" w14:textId="7BE63568" w:rsidR="001D3D26" w:rsidRPr="00042F16" w:rsidRDefault="001D3D26" w:rsidP="00563B2C">
            <w:pPr>
              <w:spacing w:after="0" w:line="240" w:lineRule="auto"/>
              <w:jc w:val="right"/>
              <w:rPr>
                <w:rFonts w:ascii="Verdana" w:hAnsi="Verdana"/>
                <w:sz w:val="20"/>
                <w:szCs w:val="20"/>
                <w:lang w:eastAsia="en-GB"/>
              </w:rPr>
            </w:pPr>
            <w:r w:rsidRPr="00042F16">
              <w:rPr>
                <w:rFonts w:ascii="Verdana" w:hAnsi="Verdana"/>
                <w:sz w:val="20"/>
                <w:szCs w:val="20"/>
                <w:lang w:eastAsia="en-GB"/>
              </w:rPr>
              <w:t>15,515,280</w:t>
            </w:r>
          </w:p>
        </w:tc>
      </w:tr>
      <w:tr w:rsidR="001D3D26" w:rsidRPr="00042F16" w14:paraId="7240A7EE" w14:textId="4D1C0BC5" w:rsidTr="007E7755">
        <w:trPr>
          <w:trHeight w:val="300"/>
        </w:trPr>
        <w:tc>
          <w:tcPr>
            <w:tcW w:w="2551" w:type="pct"/>
            <w:tcBorders>
              <w:top w:val="nil"/>
              <w:left w:val="single" w:sz="8" w:space="0" w:color="auto"/>
              <w:bottom w:val="nil"/>
              <w:right w:val="single" w:sz="4" w:space="0" w:color="000000"/>
            </w:tcBorders>
            <w:shd w:val="clear" w:color="auto" w:fill="auto"/>
            <w:noWrap/>
            <w:vAlign w:val="bottom"/>
            <w:hideMark/>
          </w:tcPr>
          <w:p w14:paraId="303C65DD" w14:textId="0EF798F6" w:rsidR="001D3D26" w:rsidRPr="00042F16" w:rsidRDefault="001D3D26" w:rsidP="00563B2C">
            <w:pPr>
              <w:spacing w:after="0" w:line="240" w:lineRule="auto"/>
              <w:rPr>
                <w:rFonts w:ascii="Verdana" w:hAnsi="Verdana"/>
                <w:sz w:val="20"/>
                <w:szCs w:val="20"/>
                <w:lang w:eastAsia="en-GB"/>
              </w:rPr>
            </w:pPr>
            <w:r w:rsidRPr="00042F16">
              <w:rPr>
                <w:rFonts w:ascii="Verdana" w:hAnsi="Verdana"/>
                <w:sz w:val="20"/>
                <w:szCs w:val="20"/>
                <w:lang w:eastAsia="en-GB"/>
              </w:rPr>
              <w:t>Previous years retained earnings</w:t>
            </w:r>
          </w:p>
        </w:tc>
        <w:tc>
          <w:tcPr>
            <w:tcW w:w="1224" w:type="pct"/>
            <w:tcBorders>
              <w:top w:val="nil"/>
              <w:left w:val="single" w:sz="4" w:space="0" w:color="000000"/>
              <w:bottom w:val="nil"/>
              <w:right w:val="single" w:sz="8" w:space="0" w:color="auto"/>
            </w:tcBorders>
            <w:shd w:val="clear" w:color="auto" w:fill="auto"/>
            <w:noWrap/>
            <w:vAlign w:val="center"/>
          </w:tcPr>
          <w:p w14:paraId="0780C636" w14:textId="0E45C47B" w:rsidR="001D3D26" w:rsidRPr="00042F16" w:rsidRDefault="00E83416" w:rsidP="00563B2C">
            <w:pPr>
              <w:spacing w:after="0" w:line="240" w:lineRule="auto"/>
              <w:jc w:val="right"/>
              <w:rPr>
                <w:rFonts w:ascii="Verdana" w:hAnsi="Verdana"/>
                <w:sz w:val="20"/>
                <w:szCs w:val="20"/>
                <w:lang w:eastAsia="en-GB"/>
              </w:rPr>
            </w:pPr>
            <w:r>
              <w:rPr>
                <w:rFonts w:ascii="Verdana" w:hAnsi="Verdana"/>
                <w:sz w:val="20"/>
                <w:szCs w:val="20"/>
                <w:lang w:eastAsia="en-GB"/>
              </w:rPr>
              <w:t>8,383,833</w:t>
            </w:r>
          </w:p>
        </w:tc>
        <w:tc>
          <w:tcPr>
            <w:tcW w:w="1225" w:type="pct"/>
            <w:tcBorders>
              <w:top w:val="nil"/>
              <w:left w:val="nil"/>
              <w:bottom w:val="nil"/>
              <w:right w:val="single" w:sz="8" w:space="0" w:color="auto"/>
            </w:tcBorders>
            <w:vAlign w:val="center"/>
          </w:tcPr>
          <w:p w14:paraId="47FC60A7" w14:textId="10248108" w:rsidR="001D3D26" w:rsidRPr="00042F16" w:rsidRDefault="00E83416" w:rsidP="00E83416">
            <w:pPr>
              <w:spacing w:after="0" w:line="240" w:lineRule="auto"/>
              <w:jc w:val="right"/>
              <w:rPr>
                <w:rFonts w:ascii="Verdana" w:hAnsi="Verdana"/>
                <w:sz w:val="20"/>
                <w:szCs w:val="20"/>
                <w:lang w:eastAsia="en-GB"/>
              </w:rPr>
            </w:pPr>
            <w:r>
              <w:rPr>
                <w:rFonts w:ascii="Verdana" w:hAnsi="Verdana"/>
                <w:sz w:val="20"/>
                <w:szCs w:val="20"/>
                <w:lang w:eastAsia="en-GB"/>
              </w:rPr>
              <w:t>8</w:t>
            </w:r>
            <w:r w:rsidR="001D3D26" w:rsidRPr="00042F16">
              <w:rPr>
                <w:rFonts w:ascii="Verdana" w:hAnsi="Verdana"/>
                <w:sz w:val="20"/>
                <w:szCs w:val="20"/>
                <w:lang w:eastAsia="en-GB"/>
              </w:rPr>
              <w:t>,</w:t>
            </w:r>
            <w:r>
              <w:rPr>
                <w:rFonts w:ascii="Verdana" w:hAnsi="Verdana"/>
                <w:sz w:val="20"/>
                <w:szCs w:val="20"/>
                <w:lang w:eastAsia="en-GB"/>
              </w:rPr>
              <w:t>383,833</w:t>
            </w:r>
          </w:p>
        </w:tc>
      </w:tr>
      <w:tr w:rsidR="001D3D26" w:rsidRPr="00042F16" w14:paraId="7E738081" w14:textId="3814C993" w:rsidTr="007E7755">
        <w:trPr>
          <w:trHeight w:val="300"/>
        </w:trPr>
        <w:tc>
          <w:tcPr>
            <w:tcW w:w="2551" w:type="pct"/>
            <w:tcBorders>
              <w:top w:val="nil"/>
              <w:left w:val="single" w:sz="8" w:space="0" w:color="auto"/>
              <w:bottom w:val="nil"/>
              <w:right w:val="single" w:sz="4" w:space="0" w:color="000000"/>
            </w:tcBorders>
            <w:shd w:val="clear" w:color="auto" w:fill="auto"/>
            <w:noWrap/>
            <w:vAlign w:val="bottom"/>
          </w:tcPr>
          <w:p w14:paraId="5C673B96" w14:textId="25112978" w:rsidR="001D3D26" w:rsidRPr="00042F16" w:rsidRDefault="001D3D26" w:rsidP="00563B2C">
            <w:pPr>
              <w:spacing w:after="0" w:line="240" w:lineRule="auto"/>
              <w:rPr>
                <w:rFonts w:ascii="Verdana" w:hAnsi="Verdana"/>
                <w:sz w:val="20"/>
                <w:szCs w:val="20"/>
                <w:lang w:eastAsia="en-GB"/>
              </w:rPr>
            </w:pPr>
            <w:r w:rsidRPr="00042F16">
              <w:rPr>
                <w:rFonts w:ascii="Verdana" w:hAnsi="Verdana"/>
                <w:sz w:val="20"/>
                <w:szCs w:val="20"/>
                <w:lang w:eastAsia="en-GB"/>
              </w:rPr>
              <w:t xml:space="preserve">Profit or Loss </w:t>
            </w:r>
          </w:p>
        </w:tc>
        <w:tc>
          <w:tcPr>
            <w:tcW w:w="1224" w:type="pct"/>
            <w:tcBorders>
              <w:top w:val="nil"/>
              <w:left w:val="single" w:sz="4" w:space="0" w:color="000000"/>
              <w:bottom w:val="nil"/>
              <w:right w:val="single" w:sz="8" w:space="0" w:color="auto"/>
            </w:tcBorders>
            <w:shd w:val="clear" w:color="auto" w:fill="auto"/>
            <w:noWrap/>
            <w:vAlign w:val="center"/>
          </w:tcPr>
          <w:p w14:paraId="7F65C640" w14:textId="6B2171A4" w:rsidR="001D3D26" w:rsidRPr="00042F16" w:rsidRDefault="001D3D26" w:rsidP="00563B2C">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1225" w:type="pct"/>
            <w:tcBorders>
              <w:top w:val="nil"/>
              <w:left w:val="nil"/>
              <w:bottom w:val="nil"/>
              <w:right w:val="single" w:sz="8" w:space="0" w:color="auto"/>
            </w:tcBorders>
            <w:vAlign w:val="center"/>
          </w:tcPr>
          <w:p w14:paraId="1085DD41" w14:textId="04E3D7E9" w:rsidR="001D3D26" w:rsidRPr="00042F16" w:rsidRDefault="00E83416" w:rsidP="00563B2C">
            <w:pPr>
              <w:spacing w:after="0" w:line="240" w:lineRule="auto"/>
              <w:jc w:val="right"/>
              <w:rPr>
                <w:rFonts w:ascii="Verdana" w:hAnsi="Verdana"/>
                <w:sz w:val="20"/>
                <w:szCs w:val="20"/>
                <w:lang w:eastAsia="en-GB"/>
              </w:rPr>
            </w:pPr>
            <w:r>
              <w:rPr>
                <w:rFonts w:ascii="Verdana" w:hAnsi="Verdana"/>
                <w:sz w:val="20"/>
                <w:szCs w:val="20"/>
                <w:lang w:eastAsia="en-GB"/>
              </w:rPr>
              <w:t>13,914,175</w:t>
            </w:r>
          </w:p>
        </w:tc>
      </w:tr>
      <w:tr w:rsidR="001D3D26" w:rsidRPr="00042F16" w14:paraId="515766DA" w14:textId="7A85B9B6" w:rsidTr="007E7755">
        <w:trPr>
          <w:trHeight w:val="300"/>
        </w:trPr>
        <w:tc>
          <w:tcPr>
            <w:tcW w:w="2551" w:type="pct"/>
            <w:tcBorders>
              <w:top w:val="nil"/>
              <w:left w:val="single" w:sz="8" w:space="0" w:color="auto"/>
              <w:bottom w:val="nil"/>
              <w:right w:val="single" w:sz="4" w:space="0" w:color="000000"/>
            </w:tcBorders>
            <w:shd w:val="clear" w:color="auto" w:fill="auto"/>
            <w:noWrap/>
            <w:vAlign w:val="bottom"/>
            <w:hideMark/>
          </w:tcPr>
          <w:p w14:paraId="35775D02" w14:textId="497E21FB" w:rsidR="001D3D26" w:rsidRPr="00042F16" w:rsidRDefault="001D3D26" w:rsidP="00563B2C">
            <w:pPr>
              <w:spacing w:after="0" w:line="240" w:lineRule="auto"/>
              <w:rPr>
                <w:rFonts w:ascii="Verdana" w:hAnsi="Verdana"/>
                <w:sz w:val="20"/>
                <w:szCs w:val="20"/>
                <w:lang w:eastAsia="en-GB"/>
              </w:rPr>
            </w:pPr>
            <w:r w:rsidRPr="00042F16">
              <w:rPr>
                <w:rFonts w:ascii="Verdana" w:hAnsi="Verdana"/>
                <w:sz w:val="20"/>
                <w:szCs w:val="20"/>
                <w:lang w:eastAsia="en-GB"/>
              </w:rPr>
              <w:t>Other reserves</w:t>
            </w:r>
          </w:p>
        </w:tc>
        <w:tc>
          <w:tcPr>
            <w:tcW w:w="1224" w:type="pct"/>
            <w:tcBorders>
              <w:top w:val="nil"/>
              <w:left w:val="single" w:sz="4" w:space="0" w:color="000000"/>
              <w:bottom w:val="nil"/>
              <w:right w:val="single" w:sz="8" w:space="0" w:color="auto"/>
            </w:tcBorders>
            <w:shd w:val="clear" w:color="auto" w:fill="auto"/>
            <w:noWrap/>
            <w:vAlign w:val="center"/>
          </w:tcPr>
          <w:p w14:paraId="6109D5AE" w14:textId="188CAB2E" w:rsidR="001D3D26" w:rsidRPr="00042F16" w:rsidRDefault="00E83416" w:rsidP="00563B2C">
            <w:pPr>
              <w:spacing w:after="0" w:line="240" w:lineRule="auto"/>
              <w:jc w:val="right"/>
              <w:rPr>
                <w:rFonts w:ascii="Verdana" w:hAnsi="Verdana"/>
                <w:sz w:val="20"/>
                <w:szCs w:val="20"/>
                <w:lang w:eastAsia="en-GB"/>
              </w:rPr>
            </w:pPr>
            <w:r>
              <w:rPr>
                <w:rFonts w:ascii="Verdana" w:hAnsi="Verdana"/>
                <w:sz w:val="20"/>
                <w:szCs w:val="20"/>
                <w:lang w:eastAsia="en-GB"/>
              </w:rPr>
              <w:t>18,002,622</w:t>
            </w:r>
          </w:p>
        </w:tc>
        <w:tc>
          <w:tcPr>
            <w:tcW w:w="1225" w:type="pct"/>
            <w:tcBorders>
              <w:top w:val="nil"/>
              <w:left w:val="nil"/>
              <w:bottom w:val="nil"/>
              <w:right w:val="single" w:sz="8" w:space="0" w:color="auto"/>
            </w:tcBorders>
            <w:vAlign w:val="center"/>
          </w:tcPr>
          <w:p w14:paraId="773276AC" w14:textId="6C0DB31C" w:rsidR="001D3D26" w:rsidRPr="00042F16" w:rsidRDefault="00E83416" w:rsidP="00563B2C">
            <w:pPr>
              <w:spacing w:after="0" w:line="240" w:lineRule="auto"/>
              <w:jc w:val="right"/>
              <w:rPr>
                <w:rFonts w:ascii="Verdana" w:hAnsi="Verdana"/>
                <w:sz w:val="20"/>
                <w:szCs w:val="20"/>
                <w:lang w:eastAsia="en-GB"/>
              </w:rPr>
            </w:pPr>
            <w:r>
              <w:rPr>
                <w:rFonts w:ascii="Verdana" w:hAnsi="Verdana"/>
                <w:sz w:val="20"/>
                <w:szCs w:val="20"/>
                <w:lang w:eastAsia="en-GB"/>
              </w:rPr>
              <w:t>18,002,622</w:t>
            </w:r>
          </w:p>
        </w:tc>
      </w:tr>
      <w:tr w:rsidR="001D3D26" w:rsidRPr="00042F16" w14:paraId="51C52071" w14:textId="65FF928D" w:rsidTr="007E7755">
        <w:trPr>
          <w:trHeight w:val="300"/>
        </w:trPr>
        <w:tc>
          <w:tcPr>
            <w:tcW w:w="2551" w:type="pct"/>
            <w:tcBorders>
              <w:top w:val="nil"/>
              <w:left w:val="single" w:sz="8" w:space="0" w:color="auto"/>
              <w:bottom w:val="nil"/>
              <w:right w:val="single" w:sz="4" w:space="0" w:color="000000"/>
            </w:tcBorders>
            <w:shd w:val="clear" w:color="auto" w:fill="auto"/>
            <w:noWrap/>
            <w:vAlign w:val="bottom"/>
            <w:hideMark/>
          </w:tcPr>
          <w:p w14:paraId="653A5280" w14:textId="0C605F0E" w:rsidR="001D3D26" w:rsidRPr="00042F16" w:rsidRDefault="001D3D26" w:rsidP="00563B2C">
            <w:pPr>
              <w:spacing w:after="0" w:line="240" w:lineRule="auto"/>
              <w:rPr>
                <w:rFonts w:ascii="Verdana" w:hAnsi="Verdana"/>
                <w:sz w:val="20"/>
                <w:szCs w:val="20"/>
                <w:lang w:eastAsia="en-GB"/>
              </w:rPr>
            </w:pPr>
            <w:r w:rsidRPr="00042F16">
              <w:rPr>
                <w:rFonts w:ascii="Verdana" w:hAnsi="Verdana"/>
                <w:sz w:val="20"/>
                <w:szCs w:val="20"/>
                <w:lang w:eastAsia="en-GB"/>
              </w:rPr>
              <w:t>Goodwill &amp; other intangible assets</w:t>
            </w:r>
          </w:p>
        </w:tc>
        <w:tc>
          <w:tcPr>
            <w:tcW w:w="1224" w:type="pct"/>
            <w:tcBorders>
              <w:top w:val="nil"/>
              <w:left w:val="single" w:sz="4" w:space="0" w:color="000000"/>
              <w:bottom w:val="nil"/>
              <w:right w:val="single" w:sz="8" w:space="0" w:color="auto"/>
            </w:tcBorders>
            <w:shd w:val="clear" w:color="auto" w:fill="auto"/>
            <w:noWrap/>
            <w:vAlign w:val="center"/>
          </w:tcPr>
          <w:p w14:paraId="12D007BA" w14:textId="68EE083C" w:rsidR="001D3D26" w:rsidRPr="00042F16" w:rsidRDefault="00E83416" w:rsidP="00563B2C">
            <w:pPr>
              <w:spacing w:after="0" w:line="240" w:lineRule="auto"/>
              <w:jc w:val="right"/>
              <w:rPr>
                <w:rFonts w:ascii="Verdana" w:hAnsi="Verdana"/>
                <w:sz w:val="20"/>
                <w:szCs w:val="20"/>
                <w:lang w:eastAsia="en-GB"/>
              </w:rPr>
            </w:pPr>
            <w:r>
              <w:rPr>
                <w:rFonts w:ascii="Verdana" w:hAnsi="Verdana"/>
                <w:sz w:val="20"/>
                <w:szCs w:val="20"/>
                <w:lang w:eastAsia="en-GB"/>
              </w:rPr>
              <w:t>-5,669</w:t>
            </w:r>
            <w:r w:rsidR="001D3D26" w:rsidRPr="00042F16">
              <w:rPr>
                <w:rFonts w:ascii="Verdana" w:hAnsi="Verdana"/>
                <w:sz w:val="20"/>
                <w:szCs w:val="20"/>
                <w:lang w:eastAsia="en-GB"/>
              </w:rPr>
              <w:t>,</w:t>
            </w:r>
            <w:r>
              <w:rPr>
                <w:rFonts w:ascii="Verdana" w:hAnsi="Verdana"/>
                <w:sz w:val="20"/>
                <w:szCs w:val="20"/>
                <w:lang w:eastAsia="en-GB"/>
              </w:rPr>
              <w:t>54</w:t>
            </w:r>
            <w:r w:rsidR="001D3D26" w:rsidRPr="00042F16">
              <w:rPr>
                <w:rFonts w:ascii="Verdana" w:hAnsi="Verdana"/>
                <w:sz w:val="20"/>
                <w:szCs w:val="20"/>
                <w:lang w:eastAsia="en-GB"/>
              </w:rPr>
              <w:t>0</w:t>
            </w:r>
          </w:p>
        </w:tc>
        <w:tc>
          <w:tcPr>
            <w:tcW w:w="1225" w:type="pct"/>
            <w:tcBorders>
              <w:top w:val="nil"/>
              <w:left w:val="nil"/>
              <w:bottom w:val="nil"/>
              <w:right w:val="single" w:sz="8" w:space="0" w:color="auto"/>
            </w:tcBorders>
            <w:vAlign w:val="center"/>
          </w:tcPr>
          <w:p w14:paraId="18A624FC" w14:textId="2CD86390" w:rsidR="001D3D26" w:rsidRPr="00042F16" w:rsidRDefault="001D3D26" w:rsidP="00563B2C">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r>
      <w:tr w:rsidR="00883CEA" w:rsidRPr="00042F16" w14:paraId="57D9FE9F" w14:textId="38E59164" w:rsidTr="00650143">
        <w:trPr>
          <w:trHeight w:val="300"/>
        </w:trPr>
        <w:tc>
          <w:tcPr>
            <w:tcW w:w="2551" w:type="pct"/>
            <w:tcBorders>
              <w:top w:val="nil"/>
              <w:left w:val="single" w:sz="8" w:space="0" w:color="auto"/>
              <w:bottom w:val="single" w:sz="8" w:space="0" w:color="auto"/>
              <w:right w:val="single" w:sz="4" w:space="0" w:color="000000"/>
            </w:tcBorders>
            <w:shd w:val="clear" w:color="auto" w:fill="auto"/>
            <w:noWrap/>
            <w:vAlign w:val="center"/>
            <w:hideMark/>
          </w:tcPr>
          <w:p w14:paraId="127A7FE5" w14:textId="26583D87" w:rsidR="001D3D26" w:rsidRPr="005B0625" w:rsidRDefault="001D3D26" w:rsidP="00563B2C">
            <w:pPr>
              <w:spacing w:after="0" w:line="240" w:lineRule="auto"/>
              <w:rPr>
                <w:rFonts w:ascii="Verdana" w:hAnsi="Verdana"/>
                <w:b/>
                <w:sz w:val="20"/>
                <w:szCs w:val="20"/>
                <w:lang w:eastAsia="en-GB"/>
              </w:rPr>
            </w:pPr>
            <w:r w:rsidRPr="005B0625">
              <w:rPr>
                <w:rFonts w:ascii="Verdana" w:hAnsi="Verdana"/>
                <w:b/>
                <w:sz w:val="20"/>
                <w:szCs w:val="20"/>
                <w:lang w:eastAsia="en-GB"/>
              </w:rPr>
              <w:t>Total equity</w:t>
            </w:r>
          </w:p>
        </w:tc>
        <w:tc>
          <w:tcPr>
            <w:tcW w:w="1224" w:type="pct"/>
            <w:tcBorders>
              <w:top w:val="nil"/>
              <w:left w:val="single" w:sz="4" w:space="0" w:color="000000"/>
              <w:bottom w:val="single" w:sz="8" w:space="0" w:color="auto"/>
              <w:right w:val="single" w:sz="8" w:space="0" w:color="auto"/>
            </w:tcBorders>
            <w:shd w:val="clear" w:color="auto" w:fill="auto"/>
            <w:noWrap/>
            <w:vAlign w:val="center"/>
          </w:tcPr>
          <w:p w14:paraId="6CF3964D" w14:textId="49862E5A" w:rsidR="001D3D26" w:rsidRPr="005B0625" w:rsidRDefault="00E83416" w:rsidP="00563B2C">
            <w:pPr>
              <w:spacing w:after="0" w:line="240" w:lineRule="auto"/>
              <w:jc w:val="right"/>
              <w:rPr>
                <w:rFonts w:ascii="Verdana" w:hAnsi="Verdana"/>
                <w:b/>
                <w:sz w:val="20"/>
                <w:szCs w:val="20"/>
                <w:lang w:eastAsia="en-GB"/>
              </w:rPr>
            </w:pPr>
            <w:r>
              <w:rPr>
                <w:rFonts w:ascii="Verdana" w:hAnsi="Verdana"/>
                <w:b/>
                <w:sz w:val="20"/>
                <w:szCs w:val="20"/>
                <w:lang w:eastAsia="en-GB"/>
              </w:rPr>
              <w:t>36,232,195</w:t>
            </w:r>
          </w:p>
        </w:tc>
        <w:tc>
          <w:tcPr>
            <w:tcW w:w="1225" w:type="pct"/>
            <w:tcBorders>
              <w:top w:val="nil"/>
              <w:left w:val="nil"/>
              <w:bottom w:val="single" w:sz="8" w:space="0" w:color="auto"/>
              <w:right w:val="single" w:sz="8" w:space="0" w:color="auto"/>
            </w:tcBorders>
            <w:shd w:val="clear" w:color="auto" w:fill="auto"/>
            <w:vAlign w:val="center"/>
          </w:tcPr>
          <w:p w14:paraId="5A078BDC" w14:textId="666436AA" w:rsidR="001D3D26" w:rsidRPr="005B0625" w:rsidRDefault="00E83416" w:rsidP="00563B2C">
            <w:pPr>
              <w:spacing w:after="0" w:line="240" w:lineRule="auto"/>
              <w:jc w:val="right"/>
              <w:rPr>
                <w:rFonts w:ascii="Verdana" w:hAnsi="Verdana"/>
                <w:b/>
                <w:sz w:val="20"/>
                <w:szCs w:val="20"/>
                <w:lang w:eastAsia="en-GB"/>
              </w:rPr>
            </w:pPr>
            <w:r>
              <w:rPr>
                <w:rFonts w:ascii="Verdana" w:hAnsi="Verdana"/>
                <w:b/>
                <w:sz w:val="20"/>
                <w:szCs w:val="20"/>
                <w:lang w:eastAsia="en-GB"/>
              </w:rPr>
              <w:t>55,815,91</w:t>
            </w:r>
            <w:r w:rsidR="001D3D26" w:rsidRPr="005B0625">
              <w:rPr>
                <w:rFonts w:ascii="Verdana" w:hAnsi="Verdana"/>
                <w:b/>
                <w:sz w:val="20"/>
                <w:szCs w:val="20"/>
                <w:lang w:eastAsia="en-GB"/>
              </w:rPr>
              <w:t>0</w:t>
            </w:r>
          </w:p>
        </w:tc>
      </w:tr>
    </w:tbl>
    <w:p w14:paraId="4324621C" w14:textId="77777777" w:rsidR="00577BB6" w:rsidRPr="00042F16" w:rsidRDefault="00577BB6" w:rsidP="00563B2C">
      <w:pPr>
        <w:spacing w:after="0" w:line="240" w:lineRule="auto"/>
        <w:rPr>
          <w:rFonts w:ascii="Verdana" w:hAnsi="Verdana"/>
          <w:sz w:val="20"/>
          <w:szCs w:val="20"/>
        </w:rPr>
      </w:pPr>
    </w:p>
    <w:p w14:paraId="4BDB10C6" w14:textId="71247B4A" w:rsidR="002563FE" w:rsidRPr="00042F16" w:rsidRDefault="002563FE" w:rsidP="00563B2C">
      <w:pPr>
        <w:spacing w:after="0" w:line="240" w:lineRule="auto"/>
        <w:rPr>
          <w:rFonts w:ascii="Verdana" w:hAnsi="Verdana"/>
          <w:sz w:val="20"/>
          <w:szCs w:val="20"/>
        </w:rPr>
      </w:pPr>
      <w:r w:rsidRPr="00042F16">
        <w:rPr>
          <w:rFonts w:ascii="Verdana" w:hAnsi="Verdana"/>
          <w:sz w:val="20"/>
          <w:szCs w:val="20"/>
        </w:rPr>
        <w:lastRenderedPageBreak/>
        <w:t>Pursuant to CRR article 36 and 37 the</w:t>
      </w:r>
      <w:r w:rsidR="007E7755" w:rsidRPr="00042F16">
        <w:rPr>
          <w:rFonts w:ascii="Verdana" w:hAnsi="Verdana"/>
          <w:sz w:val="20"/>
          <w:szCs w:val="20"/>
        </w:rPr>
        <w:t xml:space="preserve"> Company </w:t>
      </w:r>
      <w:r w:rsidRPr="00042F16">
        <w:rPr>
          <w:rFonts w:ascii="Verdana" w:hAnsi="Verdana"/>
          <w:sz w:val="20"/>
          <w:szCs w:val="20"/>
        </w:rPr>
        <w:t>has deducted its year-end profit, the goodwill and the other intangible assets from its own funds.</w:t>
      </w:r>
      <w:r w:rsidR="00220AC0" w:rsidRPr="00042F16">
        <w:rPr>
          <w:rFonts w:ascii="Verdana" w:hAnsi="Verdana"/>
          <w:sz w:val="20"/>
          <w:szCs w:val="20"/>
        </w:rPr>
        <w:t xml:space="preserve"> </w:t>
      </w:r>
      <w:r w:rsidR="00F0185F" w:rsidRPr="00042F16">
        <w:rPr>
          <w:rFonts w:ascii="Verdana" w:hAnsi="Verdana"/>
          <w:sz w:val="20"/>
          <w:szCs w:val="20"/>
        </w:rPr>
        <w:t>However,</w:t>
      </w:r>
      <w:r w:rsidR="00220AC0" w:rsidRPr="00042F16">
        <w:rPr>
          <w:rFonts w:ascii="Verdana" w:hAnsi="Verdana"/>
          <w:sz w:val="20"/>
          <w:szCs w:val="20"/>
        </w:rPr>
        <w:t xml:space="preserve"> the accounting view is different </w:t>
      </w:r>
      <w:r w:rsidR="00DF0FC6" w:rsidRPr="00042F16">
        <w:rPr>
          <w:rFonts w:ascii="Verdana" w:hAnsi="Verdana"/>
          <w:sz w:val="20"/>
          <w:szCs w:val="20"/>
        </w:rPr>
        <w:t>than</w:t>
      </w:r>
      <w:r w:rsidR="00220AC0" w:rsidRPr="00042F16">
        <w:rPr>
          <w:rFonts w:ascii="Verdana" w:hAnsi="Verdana"/>
          <w:sz w:val="20"/>
          <w:szCs w:val="20"/>
        </w:rPr>
        <w:t xml:space="preserve"> the prudential view as the year-end profit is taken into consideration and the other intangibles and the goodwill are not deducted.</w:t>
      </w:r>
      <w:r w:rsidRPr="00042F16">
        <w:rPr>
          <w:rFonts w:ascii="Verdana" w:hAnsi="Verdana"/>
          <w:sz w:val="20"/>
          <w:szCs w:val="20"/>
        </w:rPr>
        <w:t xml:space="preserve"> </w:t>
      </w:r>
    </w:p>
    <w:p w14:paraId="27E79F93" w14:textId="77777777" w:rsidR="00563B2C" w:rsidRDefault="00563B2C" w:rsidP="00563B2C">
      <w:pPr>
        <w:spacing w:after="0" w:line="240" w:lineRule="auto"/>
        <w:rPr>
          <w:rFonts w:ascii="Verdana" w:hAnsi="Verdana"/>
          <w:sz w:val="20"/>
          <w:szCs w:val="20"/>
        </w:rPr>
      </w:pPr>
    </w:p>
    <w:p w14:paraId="12EC440F" w14:textId="17C04EB8" w:rsidR="00D906E8" w:rsidRDefault="008249FD" w:rsidP="00563B2C">
      <w:pPr>
        <w:spacing w:after="0" w:line="240" w:lineRule="auto"/>
        <w:rPr>
          <w:rFonts w:ascii="Verdana" w:hAnsi="Verdana"/>
          <w:sz w:val="20"/>
          <w:szCs w:val="20"/>
        </w:rPr>
      </w:pPr>
      <w:r w:rsidRPr="00042F16">
        <w:rPr>
          <w:rFonts w:ascii="Verdana" w:hAnsi="Verdana"/>
          <w:sz w:val="20"/>
          <w:szCs w:val="20"/>
        </w:rPr>
        <w:t xml:space="preserve">The Company’s </w:t>
      </w:r>
      <w:r w:rsidR="002563FE" w:rsidRPr="00042F16">
        <w:rPr>
          <w:rFonts w:ascii="Verdana" w:hAnsi="Verdana"/>
          <w:sz w:val="20"/>
          <w:szCs w:val="20"/>
        </w:rPr>
        <w:t xml:space="preserve">own funds solely consists of Tier 1 capital. Tier 1 capital includes the paid up capital instruments, the previous years retained earnings, and the other reserves. </w:t>
      </w:r>
    </w:p>
    <w:p w14:paraId="4798A982" w14:textId="77777777" w:rsidR="00563B2C" w:rsidRPr="00042F16" w:rsidRDefault="00563B2C" w:rsidP="00563B2C">
      <w:pPr>
        <w:spacing w:after="0" w:line="240" w:lineRule="auto"/>
        <w:rPr>
          <w:rFonts w:ascii="Verdana" w:hAnsi="Verdana"/>
          <w:b/>
          <w:bCs/>
          <w:i/>
          <w:smallCaps/>
          <w:color w:val="808080" w:themeColor="background1" w:themeShade="80"/>
          <w:sz w:val="20"/>
          <w:szCs w:val="20"/>
        </w:rPr>
      </w:pPr>
    </w:p>
    <w:p w14:paraId="7B560E82" w14:textId="54F694D8" w:rsidR="00577BB6" w:rsidRPr="00563B2C" w:rsidRDefault="00851FCD" w:rsidP="00563B2C">
      <w:pPr>
        <w:pStyle w:val="Caption"/>
        <w:spacing w:after="0"/>
        <w:rPr>
          <w:rFonts w:ascii="Verdana" w:hAnsi="Verdana"/>
          <w:color w:val="auto"/>
          <w:sz w:val="20"/>
          <w:szCs w:val="20"/>
        </w:rPr>
      </w:pPr>
      <w:bookmarkStart w:id="27" w:name="_Toc22716629"/>
      <w:r w:rsidRPr="00563B2C">
        <w:rPr>
          <w:rFonts w:ascii="Verdana" w:hAnsi="Verdana"/>
          <w:color w:val="auto"/>
          <w:sz w:val="20"/>
          <w:szCs w:val="20"/>
        </w:rPr>
        <w:t xml:space="preserve">Table </w:t>
      </w:r>
      <w:r w:rsidRPr="00563B2C">
        <w:rPr>
          <w:rFonts w:ascii="Verdana" w:hAnsi="Verdana"/>
          <w:color w:val="auto"/>
          <w:sz w:val="20"/>
          <w:szCs w:val="20"/>
        </w:rPr>
        <w:fldChar w:fldCharType="begin"/>
      </w:r>
      <w:r w:rsidRPr="00563B2C">
        <w:rPr>
          <w:rFonts w:ascii="Verdana" w:hAnsi="Verdana"/>
          <w:color w:val="auto"/>
          <w:sz w:val="20"/>
          <w:szCs w:val="20"/>
        </w:rPr>
        <w:instrText xml:space="preserve"> SEQ Table \* ARABIC </w:instrText>
      </w:r>
      <w:r w:rsidRPr="00563B2C">
        <w:rPr>
          <w:rFonts w:ascii="Verdana" w:hAnsi="Verdana"/>
          <w:color w:val="auto"/>
          <w:sz w:val="20"/>
          <w:szCs w:val="20"/>
        </w:rPr>
        <w:fldChar w:fldCharType="separate"/>
      </w:r>
      <w:r w:rsidR="00E7065A" w:rsidRPr="00563B2C">
        <w:rPr>
          <w:rFonts w:ascii="Verdana" w:hAnsi="Verdana"/>
          <w:noProof/>
          <w:color w:val="auto"/>
          <w:sz w:val="20"/>
          <w:szCs w:val="20"/>
        </w:rPr>
        <w:t>5</w:t>
      </w:r>
      <w:r w:rsidRPr="00563B2C">
        <w:rPr>
          <w:rFonts w:ascii="Verdana" w:hAnsi="Verdana"/>
          <w:color w:val="auto"/>
          <w:sz w:val="20"/>
          <w:szCs w:val="20"/>
        </w:rPr>
        <w:fldChar w:fldCharType="end"/>
      </w:r>
      <w:r w:rsidRPr="00563B2C">
        <w:rPr>
          <w:rFonts w:ascii="Verdana" w:hAnsi="Verdana"/>
          <w:color w:val="auto"/>
          <w:sz w:val="20"/>
          <w:szCs w:val="20"/>
        </w:rPr>
        <w:t xml:space="preserve"> : Own Funds of </w:t>
      </w:r>
      <w:r w:rsidR="002F2ED1" w:rsidRPr="00563B2C">
        <w:rPr>
          <w:rFonts w:ascii="Verdana" w:hAnsi="Verdana"/>
          <w:color w:val="auto"/>
          <w:sz w:val="20"/>
          <w:szCs w:val="20"/>
        </w:rPr>
        <w:t>The Company</w:t>
      </w:r>
      <w:r w:rsidRPr="00563B2C">
        <w:rPr>
          <w:rFonts w:ascii="Verdana" w:hAnsi="Verdana"/>
          <w:color w:val="auto"/>
          <w:sz w:val="20"/>
          <w:szCs w:val="20"/>
        </w:rPr>
        <w:t xml:space="preserve"> as of 31 December 201</w:t>
      </w:r>
      <w:bookmarkEnd w:id="27"/>
      <w:r w:rsidR="00E83416">
        <w:rPr>
          <w:rFonts w:ascii="Verdana" w:hAnsi="Verdana"/>
          <w:color w:val="auto"/>
          <w:sz w:val="20"/>
          <w:szCs w:val="20"/>
        </w:rPr>
        <w:t>9</w:t>
      </w:r>
    </w:p>
    <w:tbl>
      <w:tblPr>
        <w:tblW w:w="5000" w:type="pct"/>
        <w:tblLayout w:type="fixed"/>
        <w:tblLook w:val="04A0" w:firstRow="1" w:lastRow="0" w:firstColumn="1" w:lastColumn="0" w:noHBand="0" w:noVBand="1"/>
      </w:tblPr>
      <w:tblGrid>
        <w:gridCol w:w="566"/>
        <w:gridCol w:w="3733"/>
        <w:gridCol w:w="1868"/>
        <w:gridCol w:w="3298"/>
      </w:tblGrid>
      <w:tr w:rsidR="00883CEA" w:rsidRPr="00042F16" w14:paraId="086EBFA3" w14:textId="77777777" w:rsidTr="00563B2C">
        <w:trPr>
          <w:trHeight w:val="620"/>
        </w:trPr>
        <w:tc>
          <w:tcPr>
            <w:tcW w:w="3257" w:type="pct"/>
            <w:gridSpan w:val="3"/>
            <w:tcBorders>
              <w:top w:val="single" w:sz="4" w:space="0" w:color="000000"/>
              <w:left w:val="single" w:sz="8" w:space="0" w:color="auto"/>
              <w:bottom w:val="single" w:sz="4" w:space="0" w:color="000000"/>
              <w:right w:val="single" w:sz="4" w:space="0" w:color="000000"/>
            </w:tcBorders>
            <w:shd w:val="clear" w:color="auto" w:fill="6CACE4"/>
            <w:vAlign w:val="center"/>
            <w:hideMark/>
          </w:tcPr>
          <w:p w14:paraId="78364085" w14:textId="77777777" w:rsidR="00FE546F" w:rsidRPr="00042F16" w:rsidRDefault="00FE546F" w:rsidP="00563B2C">
            <w:pPr>
              <w:spacing w:after="0" w:line="240" w:lineRule="auto"/>
              <w:jc w:val="center"/>
              <w:rPr>
                <w:rFonts w:ascii="Verdana" w:hAnsi="Verdana"/>
                <w:color w:val="FFFFFF" w:themeColor="background1"/>
                <w:sz w:val="20"/>
                <w:szCs w:val="20"/>
                <w:lang w:eastAsia="en-GB"/>
              </w:rPr>
            </w:pPr>
            <w:r w:rsidRPr="00042F16">
              <w:rPr>
                <w:rFonts w:ascii="Verdana" w:hAnsi="Verdana"/>
                <w:b/>
                <w:color w:val="FFFFFF" w:themeColor="background1"/>
                <w:sz w:val="20"/>
                <w:szCs w:val="20"/>
                <w:lang w:eastAsia="en-GB"/>
              </w:rPr>
              <w:t>Own funds  disclosure template (in € thousands)</w:t>
            </w:r>
          </w:p>
        </w:tc>
        <w:tc>
          <w:tcPr>
            <w:tcW w:w="1743" w:type="pct"/>
            <w:tcBorders>
              <w:top w:val="single" w:sz="4" w:space="0" w:color="4B4B4B"/>
              <w:left w:val="single" w:sz="4" w:space="0" w:color="2B2828"/>
              <w:bottom w:val="single" w:sz="4" w:space="0" w:color="1F1C1F"/>
              <w:right w:val="single" w:sz="4" w:space="0" w:color="2B2B2B"/>
            </w:tcBorders>
            <w:shd w:val="clear" w:color="auto" w:fill="6CACE4"/>
            <w:vAlign w:val="center"/>
            <w:hideMark/>
          </w:tcPr>
          <w:p w14:paraId="545628F9" w14:textId="06011015" w:rsidR="00FE546F" w:rsidRPr="00042F16" w:rsidRDefault="00FE546F" w:rsidP="00563B2C">
            <w:pPr>
              <w:spacing w:after="0" w:line="240" w:lineRule="auto"/>
              <w:jc w:val="center"/>
              <w:rPr>
                <w:rFonts w:ascii="Verdana" w:hAnsi="Verdana" w:cs="Calibri"/>
                <w:b/>
                <w:color w:val="FFFFFF" w:themeColor="background1"/>
                <w:sz w:val="20"/>
                <w:szCs w:val="20"/>
                <w:lang w:eastAsia="en-GB"/>
              </w:rPr>
            </w:pPr>
            <w:r w:rsidRPr="00042F16">
              <w:rPr>
                <w:rFonts w:ascii="Verdana" w:hAnsi="Verdana"/>
                <w:b/>
                <w:color w:val="FFFFFF" w:themeColor="background1"/>
                <w:sz w:val="20"/>
                <w:szCs w:val="20"/>
                <w:lang w:eastAsia="en-GB"/>
              </w:rPr>
              <w:t>Regulation (EU) No 575/2013</w:t>
            </w:r>
            <w:r w:rsidRPr="00042F16">
              <w:rPr>
                <w:rFonts w:ascii="Verdana" w:hAnsi="Verdana"/>
                <w:b/>
                <w:color w:val="FFFFFF" w:themeColor="background1"/>
                <w:sz w:val="20"/>
                <w:szCs w:val="20"/>
                <w:lang w:eastAsia="en-GB"/>
              </w:rPr>
              <w:br/>
              <w:t>Article Reference</w:t>
            </w:r>
          </w:p>
        </w:tc>
      </w:tr>
      <w:tr w:rsidR="00FE546F" w:rsidRPr="00042F16" w14:paraId="5E0A4715" w14:textId="77777777" w:rsidTr="007E7755">
        <w:trPr>
          <w:trHeight w:val="300"/>
        </w:trPr>
        <w:tc>
          <w:tcPr>
            <w:tcW w:w="5000" w:type="pct"/>
            <w:gridSpan w:val="4"/>
            <w:tcBorders>
              <w:top w:val="single" w:sz="4" w:space="0" w:color="1F1C1F"/>
              <w:left w:val="single" w:sz="4" w:space="0" w:color="282328"/>
              <w:bottom w:val="single" w:sz="4" w:space="0" w:color="444444"/>
              <w:right w:val="single" w:sz="4" w:space="0" w:color="2B2B2B"/>
            </w:tcBorders>
            <w:shd w:val="clear" w:color="000000" w:fill="FFFFFF"/>
            <w:hideMark/>
          </w:tcPr>
          <w:p w14:paraId="1BBA8844" w14:textId="77777777" w:rsidR="00FE546F" w:rsidRPr="00042F16" w:rsidRDefault="00FE546F" w:rsidP="00563B2C">
            <w:pPr>
              <w:spacing w:after="0" w:line="240" w:lineRule="auto"/>
              <w:rPr>
                <w:rFonts w:ascii="Verdana" w:hAnsi="Verdana" w:cs="Calibri"/>
                <w:b/>
                <w:sz w:val="20"/>
                <w:szCs w:val="20"/>
                <w:lang w:eastAsia="en-GB"/>
              </w:rPr>
            </w:pPr>
            <w:r w:rsidRPr="00042F16">
              <w:rPr>
                <w:rFonts w:ascii="Verdana" w:hAnsi="Verdana"/>
                <w:b/>
                <w:sz w:val="20"/>
                <w:szCs w:val="20"/>
                <w:lang w:eastAsia="en-GB"/>
              </w:rPr>
              <w:t>Common  Equity  Tier 1 (CET1) capital: Instruments and reserves</w:t>
            </w:r>
          </w:p>
        </w:tc>
      </w:tr>
      <w:tr w:rsidR="00FE546F" w:rsidRPr="00042F16" w14:paraId="36F07DF4" w14:textId="77777777" w:rsidTr="007E7755">
        <w:trPr>
          <w:trHeight w:val="450"/>
        </w:trPr>
        <w:tc>
          <w:tcPr>
            <w:tcW w:w="299" w:type="pct"/>
            <w:tcBorders>
              <w:top w:val="nil"/>
              <w:left w:val="single" w:sz="4" w:space="0" w:color="282328"/>
              <w:bottom w:val="single" w:sz="4" w:space="0" w:color="3F3F3F"/>
              <w:right w:val="single" w:sz="4" w:space="0" w:color="2F2B2B"/>
            </w:tcBorders>
            <w:shd w:val="clear" w:color="000000" w:fill="FFFFFF"/>
            <w:vAlign w:val="center"/>
            <w:hideMark/>
          </w:tcPr>
          <w:p w14:paraId="4B55DB2D"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1</w:t>
            </w:r>
          </w:p>
        </w:tc>
        <w:tc>
          <w:tcPr>
            <w:tcW w:w="1972" w:type="pct"/>
            <w:tcBorders>
              <w:top w:val="single" w:sz="4" w:space="0" w:color="444444"/>
              <w:left w:val="nil"/>
              <w:bottom w:val="single" w:sz="4" w:space="0" w:color="3F3F3F"/>
              <w:right w:val="single" w:sz="4" w:space="0" w:color="2F2B2B"/>
            </w:tcBorders>
            <w:shd w:val="clear" w:color="000000" w:fill="FFFFFF"/>
            <w:hideMark/>
          </w:tcPr>
          <w:p w14:paraId="37C6326D"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 xml:space="preserve">Capital instruments and the related </w:t>
            </w:r>
            <w:r w:rsidRPr="00042F16">
              <w:rPr>
                <w:rFonts w:ascii="Verdana" w:hAnsi="Verdana"/>
                <w:color w:val="3D3D3D"/>
                <w:sz w:val="20"/>
                <w:szCs w:val="20"/>
                <w:lang w:eastAsia="en-GB"/>
              </w:rPr>
              <w:t xml:space="preserve">share </w:t>
            </w:r>
            <w:r w:rsidRPr="00042F16">
              <w:rPr>
                <w:rFonts w:ascii="Verdana" w:hAnsi="Verdana"/>
                <w:sz w:val="20"/>
                <w:szCs w:val="20"/>
                <w:lang w:eastAsia="en-GB"/>
              </w:rPr>
              <w:t>premium accounts</w:t>
            </w:r>
          </w:p>
        </w:tc>
        <w:tc>
          <w:tcPr>
            <w:tcW w:w="987" w:type="pct"/>
            <w:tcBorders>
              <w:top w:val="nil"/>
              <w:left w:val="nil"/>
              <w:bottom w:val="single" w:sz="4" w:space="0" w:color="3F3F3F"/>
              <w:right w:val="single" w:sz="4" w:space="0" w:color="2B2828"/>
            </w:tcBorders>
            <w:shd w:val="clear" w:color="000000" w:fill="FFFFFF"/>
            <w:vAlign w:val="center"/>
          </w:tcPr>
          <w:p w14:paraId="49895AB6" w14:textId="59321F0A" w:rsidR="00FE546F" w:rsidRPr="00042F16" w:rsidRDefault="00FE546F" w:rsidP="00563B2C">
            <w:pPr>
              <w:spacing w:after="0" w:line="240" w:lineRule="auto"/>
              <w:jc w:val="right"/>
              <w:rPr>
                <w:rFonts w:ascii="Verdana" w:hAnsi="Verdana"/>
                <w:sz w:val="20"/>
                <w:szCs w:val="20"/>
                <w:lang w:eastAsia="en-GB"/>
              </w:rPr>
            </w:pPr>
            <w:r w:rsidRPr="00042F16">
              <w:rPr>
                <w:rFonts w:ascii="Verdana" w:hAnsi="Verdana"/>
                <w:sz w:val="20"/>
                <w:szCs w:val="20"/>
                <w:lang w:eastAsia="en-GB"/>
              </w:rPr>
              <w:t>15,515,280</w:t>
            </w:r>
          </w:p>
        </w:tc>
        <w:tc>
          <w:tcPr>
            <w:tcW w:w="1743" w:type="pct"/>
            <w:tcBorders>
              <w:top w:val="nil"/>
              <w:left w:val="nil"/>
              <w:bottom w:val="single" w:sz="4" w:space="0" w:color="3F3F3F"/>
              <w:right w:val="single" w:sz="4" w:space="0" w:color="2B2B2B"/>
            </w:tcBorders>
            <w:shd w:val="clear" w:color="000000" w:fill="FFFFFF"/>
            <w:vAlign w:val="center"/>
            <w:hideMark/>
          </w:tcPr>
          <w:p w14:paraId="3569CD29" w14:textId="71D2964C" w:rsidR="00FE546F" w:rsidRPr="00042F16" w:rsidRDefault="00FE546F" w:rsidP="00E83416">
            <w:pPr>
              <w:spacing w:after="0" w:line="240" w:lineRule="auto"/>
              <w:ind w:left="-184"/>
              <w:jc w:val="center"/>
              <w:rPr>
                <w:rFonts w:ascii="Verdana" w:hAnsi="Verdana" w:cs="Calibri"/>
                <w:sz w:val="20"/>
                <w:szCs w:val="20"/>
                <w:lang w:eastAsia="en-GB"/>
              </w:rPr>
            </w:pPr>
            <w:r w:rsidRPr="00042F16">
              <w:rPr>
                <w:rFonts w:ascii="Verdana" w:hAnsi="Verdana"/>
                <w:sz w:val="20"/>
                <w:szCs w:val="20"/>
                <w:lang w:eastAsia="en-GB"/>
              </w:rPr>
              <w:t>26 (1), 27, 28,</w:t>
            </w:r>
            <w:r w:rsidRPr="00042F16">
              <w:rPr>
                <w:rFonts w:ascii="Verdana" w:hAnsi="Verdana"/>
                <w:color w:val="3D3D3D"/>
                <w:sz w:val="20"/>
                <w:szCs w:val="20"/>
                <w:lang w:eastAsia="en-GB"/>
              </w:rPr>
              <w:t xml:space="preserve"> 29</w:t>
            </w:r>
          </w:p>
        </w:tc>
      </w:tr>
      <w:tr w:rsidR="00FE546F" w:rsidRPr="00042F16" w14:paraId="68D88F49" w14:textId="77777777" w:rsidTr="007E7755">
        <w:trPr>
          <w:trHeight w:val="300"/>
        </w:trPr>
        <w:tc>
          <w:tcPr>
            <w:tcW w:w="299" w:type="pct"/>
            <w:tcBorders>
              <w:top w:val="nil"/>
              <w:left w:val="single" w:sz="4" w:space="0" w:color="282328"/>
              <w:bottom w:val="single" w:sz="4" w:space="0" w:color="3F3F3F"/>
              <w:right w:val="single" w:sz="4" w:space="0" w:color="2F2B2B"/>
            </w:tcBorders>
            <w:shd w:val="clear" w:color="000000" w:fill="FFFFFF"/>
            <w:vAlign w:val="center"/>
            <w:hideMark/>
          </w:tcPr>
          <w:p w14:paraId="431CCE3C" w14:textId="4AF49D77" w:rsidR="00FE546F" w:rsidRPr="00042F16" w:rsidRDefault="00FE546F" w:rsidP="00563B2C">
            <w:pPr>
              <w:spacing w:after="0" w:line="240" w:lineRule="auto"/>
              <w:jc w:val="center"/>
              <w:rPr>
                <w:rFonts w:ascii="Verdana" w:hAnsi="Verdana"/>
                <w:sz w:val="20"/>
                <w:szCs w:val="20"/>
                <w:lang w:eastAsia="en-GB"/>
              </w:rPr>
            </w:pPr>
          </w:p>
        </w:tc>
        <w:tc>
          <w:tcPr>
            <w:tcW w:w="1972" w:type="pct"/>
            <w:tcBorders>
              <w:top w:val="single" w:sz="4" w:space="0" w:color="3F3F3F"/>
              <w:left w:val="nil"/>
              <w:bottom w:val="single" w:sz="4" w:space="0" w:color="3F3F3F"/>
              <w:right w:val="single" w:sz="4" w:space="0" w:color="2F2B2B"/>
            </w:tcBorders>
            <w:shd w:val="clear" w:color="000000" w:fill="FFFFFF"/>
            <w:hideMark/>
          </w:tcPr>
          <w:p w14:paraId="4320B069" w14:textId="77777777" w:rsidR="00FE546F" w:rsidRPr="00042F16" w:rsidRDefault="00FE546F" w:rsidP="00563B2C">
            <w:pPr>
              <w:spacing w:after="0" w:line="240" w:lineRule="auto"/>
              <w:rPr>
                <w:rFonts w:ascii="Verdana" w:hAnsi="Verdana"/>
                <w:sz w:val="20"/>
                <w:szCs w:val="20"/>
                <w:lang w:eastAsia="en-GB"/>
              </w:rPr>
            </w:pPr>
            <w:r w:rsidRPr="00042F16">
              <w:rPr>
                <w:rFonts w:ascii="Verdana" w:hAnsi="Verdana"/>
                <w:sz w:val="20"/>
                <w:szCs w:val="20"/>
                <w:lang w:eastAsia="en-GB"/>
              </w:rPr>
              <w:t>of which: Share capital</w:t>
            </w:r>
          </w:p>
        </w:tc>
        <w:tc>
          <w:tcPr>
            <w:tcW w:w="987" w:type="pct"/>
            <w:tcBorders>
              <w:top w:val="nil"/>
              <w:left w:val="nil"/>
              <w:bottom w:val="single" w:sz="4" w:space="0" w:color="3F3F3F"/>
              <w:right w:val="single" w:sz="4" w:space="0" w:color="2B2828"/>
            </w:tcBorders>
            <w:shd w:val="clear" w:color="000000" w:fill="FFFFFF"/>
            <w:vAlign w:val="center"/>
          </w:tcPr>
          <w:p w14:paraId="581C731A" w14:textId="59176D86" w:rsidR="00FE546F" w:rsidRPr="00042F16" w:rsidRDefault="00FE546F" w:rsidP="00563B2C">
            <w:pPr>
              <w:spacing w:after="0" w:line="240" w:lineRule="auto"/>
              <w:jc w:val="right"/>
              <w:rPr>
                <w:rFonts w:ascii="Verdana" w:hAnsi="Verdana"/>
                <w:sz w:val="20"/>
                <w:szCs w:val="20"/>
                <w:lang w:eastAsia="en-GB"/>
              </w:rPr>
            </w:pPr>
            <w:r w:rsidRPr="00042F16">
              <w:rPr>
                <w:rFonts w:ascii="Verdana" w:hAnsi="Verdana"/>
                <w:sz w:val="20"/>
                <w:szCs w:val="20"/>
                <w:lang w:eastAsia="en-GB"/>
              </w:rPr>
              <w:t>15,515,280</w:t>
            </w:r>
          </w:p>
        </w:tc>
        <w:tc>
          <w:tcPr>
            <w:tcW w:w="1743" w:type="pct"/>
            <w:tcBorders>
              <w:top w:val="nil"/>
              <w:left w:val="nil"/>
              <w:bottom w:val="single" w:sz="4" w:space="0" w:color="3F3F3F"/>
              <w:right w:val="single" w:sz="4" w:space="0" w:color="2B2B2B"/>
            </w:tcBorders>
            <w:shd w:val="clear" w:color="000000" w:fill="FFFFFF"/>
            <w:vAlign w:val="center"/>
            <w:hideMark/>
          </w:tcPr>
          <w:p w14:paraId="567886CF"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EBA list 26 (3)</w:t>
            </w:r>
          </w:p>
        </w:tc>
      </w:tr>
      <w:tr w:rsidR="00FE546F" w:rsidRPr="00042F16" w14:paraId="3FBA7A12" w14:textId="77777777" w:rsidTr="007E7755">
        <w:trPr>
          <w:trHeight w:val="300"/>
        </w:trPr>
        <w:tc>
          <w:tcPr>
            <w:tcW w:w="299" w:type="pct"/>
            <w:tcBorders>
              <w:top w:val="nil"/>
              <w:left w:val="single" w:sz="4" w:space="0" w:color="282328"/>
              <w:bottom w:val="single" w:sz="4" w:space="0" w:color="3F3F3F"/>
              <w:right w:val="single" w:sz="4" w:space="0" w:color="2F2B2B"/>
            </w:tcBorders>
            <w:shd w:val="clear" w:color="000000" w:fill="FFFFFF"/>
            <w:vAlign w:val="center"/>
            <w:hideMark/>
          </w:tcPr>
          <w:p w14:paraId="1F595B51"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2</w:t>
            </w:r>
          </w:p>
        </w:tc>
        <w:tc>
          <w:tcPr>
            <w:tcW w:w="1972" w:type="pct"/>
            <w:tcBorders>
              <w:top w:val="single" w:sz="4" w:space="0" w:color="4B4B4B"/>
              <w:left w:val="nil"/>
              <w:bottom w:val="single" w:sz="4" w:space="0" w:color="3F3F3F"/>
              <w:right w:val="single" w:sz="4" w:space="0" w:color="2F2B2B"/>
            </w:tcBorders>
            <w:shd w:val="clear" w:color="000000" w:fill="FFFFFF"/>
            <w:hideMark/>
          </w:tcPr>
          <w:p w14:paraId="4210F50A"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Retained earnings</w:t>
            </w:r>
          </w:p>
        </w:tc>
        <w:tc>
          <w:tcPr>
            <w:tcW w:w="987" w:type="pct"/>
            <w:tcBorders>
              <w:top w:val="single" w:sz="4" w:space="0" w:color="3F3F3F"/>
              <w:left w:val="nil"/>
              <w:bottom w:val="single" w:sz="4" w:space="0" w:color="3F3F3F"/>
              <w:right w:val="single" w:sz="4" w:space="0" w:color="2B2828"/>
            </w:tcBorders>
            <w:shd w:val="clear" w:color="000000" w:fill="FFFFFF"/>
            <w:vAlign w:val="center"/>
          </w:tcPr>
          <w:p w14:paraId="1F954678" w14:textId="30A524CE"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8,383,833</w:t>
            </w:r>
          </w:p>
        </w:tc>
        <w:tc>
          <w:tcPr>
            <w:tcW w:w="1743" w:type="pct"/>
            <w:tcBorders>
              <w:top w:val="nil"/>
              <w:left w:val="nil"/>
              <w:bottom w:val="single" w:sz="4" w:space="0" w:color="3F3F3F"/>
              <w:right w:val="single" w:sz="4" w:space="0" w:color="2B2B2B"/>
            </w:tcBorders>
            <w:shd w:val="clear" w:color="000000" w:fill="FFFFFF"/>
            <w:vAlign w:val="center"/>
            <w:hideMark/>
          </w:tcPr>
          <w:p w14:paraId="3CBD2829"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26 (1) (c)</w:t>
            </w:r>
          </w:p>
        </w:tc>
      </w:tr>
      <w:tr w:rsidR="00FE546F" w:rsidRPr="00042F16" w14:paraId="5C4575CF" w14:textId="77777777" w:rsidTr="007E7755">
        <w:trPr>
          <w:trHeight w:val="300"/>
        </w:trPr>
        <w:tc>
          <w:tcPr>
            <w:tcW w:w="299" w:type="pct"/>
            <w:tcBorders>
              <w:top w:val="nil"/>
              <w:left w:val="single" w:sz="4" w:space="0" w:color="282328"/>
              <w:bottom w:val="single" w:sz="4" w:space="0" w:color="3F3F3F"/>
              <w:right w:val="single" w:sz="4" w:space="0" w:color="2F2B2B"/>
            </w:tcBorders>
            <w:shd w:val="clear" w:color="000000" w:fill="FFFFFF"/>
            <w:vAlign w:val="center"/>
            <w:hideMark/>
          </w:tcPr>
          <w:p w14:paraId="6FE9E1D2"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3</w:t>
            </w:r>
          </w:p>
        </w:tc>
        <w:tc>
          <w:tcPr>
            <w:tcW w:w="1972" w:type="pct"/>
            <w:tcBorders>
              <w:top w:val="single" w:sz="4" w:space="0" w:color="3F3F3F"/>
              <w:left w:val="nil"/>
              <w:bottom w:val="single" w:sz="4" w:space="0" w:color="3F3F3F"/>
              <w:right w:val="single" w:sz="4" w:space="0" w:color="2F2B2B"/>
            </w:tcBorders>
            <w:shd w:val="clear" w:color="000000" w:fill="FFFFFF"/>
            <w:hideMark/>
          </w:tcPr>
          <w:p w14:paraId="7A893AF5"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Accumulated other comprehensive income (and other reserves)</w:t>
            </w:r>
          </w:p>
        </w:tc>
        <w:tc>
          <w:tcPr>
            <w:tcW w:w="987" w:type="pct"/>
            <w:tcBorders>
              <w:top w:val="nil"/>
              <w:left w:val="nil"/>
              <w:bottom w:val="single" w:sz="4" w:space="0" w:color="3F3F3F"/>
              <w:right w:val="single" w:sz="4" w:space="0" w:color="2B2828"/>
            </w:tcBorders>
            <w:shd w:val="clear" w:color="000000" w:fill="FFFFFF"/>
            <w:vAlign w:val="center"/>
          </w:tcPr>
          <w:p w14:paraId="7DA7CB00" w14:textId="11DD2CA9"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18,002,622</w:t>
            </w:r>
          </w:p>
        </w:tc>
        <w:tc>
          <w:tcPr>
            <w:tcW w:w="1743" w:type="pct"/>
            <w:tcBorders>
              <w:top w:val="nil"/>
              <w:left w:val="nil"/>
              <w:bottom w:val="single" w:sz="4" w:space="0" w:color="3F3F3F"/>
              <w:right w:val="single" w:sz="4" w:space="0" w:color="2B2B2B"/>
            </w:tcBorders>
            <w:shd w:val="clear" w:color="000000" w:fill="FFFFFF"/>
            <w:vAlign w:val="center"/>
            <w:hideMark/>
          </w:tcPr>
          <w:p w14:paraId="2923C4E6"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 xml:space="preserve">26 </w:t>
            </w:r>
            <w:r w:rsidRPr="00042F16">
              <w:rPr>
                <w:rFonts w:ascii="Verdana" w:hAnsi="Verdana"/>
                <w:color w:val="3D3D3D"/>
                <w:sz w:val="20"/>
                <w:szCs w:val="20"/>
                <w:lang w:eastAsia="en-GB"/>
              </w:rPr>
              <w:t>(1)</w:t>
            </w:r>
          </w:p>
        </w:tc>
      </w:tr>
      <w:tr w:rsidR="00FE546F" w:rsidRPr="00042F16" w14:paraId="50547926" w14:textId="77777777" w:rsidTr="007E7755">
        <w:trPr>
          <w:trHeight w:val="450"/>
        </w:trPr>
        <w:tc>
          <w:tcPr>
            <w:tcW w:w="299" w:type="pct"/>
            <w:tcBorders>
              <w:top w:val="nil"/>
              <w:left w:val="single" w:sz="4" w:space="0" w:color="282328"/>
              <w:bottom w:val="single" w:sz="4" w:space="0" w:color="383438"/>
              <w:right w:val="single" w:sz="4" w:space="0" w:color="484448"/>
            </w:tcBorders>
            <w:shd w:val="clear" w:color="000000" w:fill="FFFFFF"/>
            <w:vAlign w:val="center"/>
            <w:hideMark/>
          </w:tcPr>
          <w:p w14:paraId="7A60BBB4"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6</w:t>
            </w:r>
          </w:p>
        </w:tc>
        <w:tc>
          <w:tcPr>
            <w:tcW w:w="1972" w:type="pct"/>
            <w:tcBorders>
              <w:top w:val="single" w:sz="4" w:space="0" w:color="3F3B3F"/>
              <w:left w:val="nil"/>
              <w:bottom w:val="single" w:sz="4" w:space="0" w:color="383438"/>
              <w:right w:val="single" w:sz="4" w:space="0" w:color="484448"/>
            </w:tcBorders>
            <w:shd w:val="clear" w:color="000000" w:fill="FFFFFF"/>
            <w:hideMark/>
          </w:tcPr>
          <w:p w14:paraId="6C0DE991"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Common  Equity  Tier 1 (CET1) capital before  regulatory adjustments</w:t>
            </w:r>
          </w:p>
        </w:tc>
        <w:tc>
          <w:tcPr>
            <w:tcW w:w="987" w:type="pct"/>
            <w:tcBorders>
              <w:top w:val="nil"/>
              <w:left w:val="nil"/>
              <w:bottom w:val="single" w:sz="4" w:space="0" w:color="383438"/>
              <w:right w:val="single" w:sz="4" w:space="0" w:color="2B2828"/>
            </w:tcBorders>
            <w:shd w:val="clear" w:color="000000" w:fill="FFFFFF"/>
            <w:vAlign w:val="center"/>
          </w:tcPr>
          <w:p w14:paraId="6CC63F35" w14:textId="7D3B577F"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41,901,735</w:t>
            </w:r>
          </w:p>
        </w:tc>
        <w:tc>
          <w:tcPr>
            <w:tcW w:w="1743" w:type="pct"/>
            <w:tcBorders>
              <w:top w:val="nil"/>
              <w:left w:val="nil"/>
              <w:bottom w:val="single" w:sz="4" w:space="0" w:color="383438"/>
              <w:right w:val="single" w:sz="4" w:space="0" w:color="2B2B2B"/>
            </w:tcBorders>
            <w:shd w:val="clear" w:color="000000" w:fill="FFFFFF"/>
            <w:vAlign w:val="center"/>
            <w:hideMark/>
          </w:tcPr>
          <w:p w14:paraId="0C73C4E0" w14:textId="36DCC2F1"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Sum of rows 1 to 5a</w:t>
            </w:r>
          </w:p>
        </w:tc>
      </w:tr>
      <w:tr w:rsidR="00FE546F" w:rsidRPr="00042F16" w14:paraId="44AE0C27" w14:textId="77777777" w:rsidTr="00F71FFD">
        <w:trPr>
          <w:trHeight w:val="265"/>
        </w:trPr>
        <w:tc>
          <w:tcPr>
            <w:tcW w:w="5000" w:type="pct"/>
            <w:gridSpan w:val="4"/>
            <w:tcBorders>
              <w:top w:val="single" w:sz="4" w:space="0" w:color="383438"/>
              <w:left w:val="single" w:sz="4" w:space="0" w:color="282328"/>
              <w:bottom w:val="single" w:sz="4" w:space="0" w:color="1F1C1F"/>
              <w:right w:val="single" w:sz="4" w:space="0" w:color="2B2B2B"/>
            </w:tcBorders>
            <w:shd w:val="clear" w:color="000000" w:fill="FFFFFF"/>
            <w:hideMark/>
          </w:tcPr>
          <w:p w14:paraId="53B89459" w14:textId="77777777" w:rsidR="00FE546F" w:rsidRPr="00042F16" w:rsidRDefault="00FE546F" w:rsidP="00563B2C">
            <w:pPr>
              <w:spacing w:after="0" w:line="240" w:lineRule="auto"/>
              <w:rPr>
                <w:rFonts w:ascii="Verdana" w:hAnsi="Verdana" w:cs="Calibri"/>
                <w:b/>
                <w:sz w:val="20"/>
                <w:szCs w:val="20"/>
                <w:lang w:eastAsia="en-GB"/>
              </w:rPr>
            </w:pPr>
            <w:r w:rsidRPr="00042F16">
              <w:rPr>
                <w:rFonts w:ascii="Verdana" w:hAnsi="Verdana"/>
                <w:b/>
                <w:sz w:val="20"/>
                <w:szCs w:val="20"/>
                <w:lang w:eastAsia="en-GB"/>
              </w:rPr>
              <w:t>Common  Equity  Tier 1 (CET1) capital: regulatory adjustments</w:t>
            </w:r>
          </w:p>
        </w:tc>
      </w:tr>
      <w:tr w:rsidR="00FE546F" w:rsidRPr="00042F16" w14:paraId="0E8233C7" w14:textId="77777777" w:rsidTr="007E7755">
        <w:trPr>
          <w:trHeight w:val="300"/>
        </w:trPr>
        <w:tc>
          <w:tcPr>
            <w:tcW w:w="299" w:type="pct"/>
            <w:tcBorders>
              <w:top w:val="nil"/>
              <w:left w:val="single" w:sz="4" w:space="0" w:color="282328"/>
              <w:bottom w:val="single" w:sz="4" w:space="0" w:color="1F1C1F"/>
              <w:right w:val="single" w:sz="4" w:space="0" w:color="282828"/>
            </w:tcBorders>
            <w:shd w:val="clear" w:color="000000" w:fill="FFFFFF"/>
            <w:vAlign w:val="center"/>
            <w:hideMark/>
          </w:tcPr>
          <w:p w14:paraId="323D2E47"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8</w:t>
            </w:r>
          </w:p>
        </w:tc>
        <w:tc>
          <w:tcPr>
            <w:tcW w:w="1972" w:type="pct"/>
            <w:tcBorders>
              <w:top w:val="single" w:sz="4" w:space="0" w:color="4B4B4B"/>
              <w:left w:val="nil"/>
              <w:bottom w:val="single" w:sz="4" w:space="0" w:color="1F1C1F"/>
              <w:right w:val="single" w:sz="4" w:space="0" w:color="282828"/>
            </w:tcBorders>
            <w:shd w:val="clear" w:color="000000" w:fill="FFFFFF"/>
            <w:hideMark/>
          </w:tcPr>
          <w:p w14:paraId="70251E33"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Intangible assets (net of related tax liability) (negative amount)</w:t>
            </w:r>
          </w:p>
        </w:tc>
        <w:tc>
          <w:tcPr>
            <w:tcW w:w="987" w:type="pct"/>
            <w:tcBorders>
              <w:top w:val="single" w:sz="4" w:space="0" w:color="3F3B3F"/>
              <w:left w:val="single" w:sz="4" w:space="0" w:color="484448"/>
              <w:bottom w:val="single" w:sz="4" w:space="0" w:color="383438"/>
              <w:right w:val="single" w:sz="4" w:space="0" w:color="2B2828"/>
            </w:tcBorders>
            <w:shd w:val="clear" w:color="000000" w:fill="FFFFFF"/>
            <w:vAlign w:val="center"/>
            <w:hideMark/>
          </w:tcPr>
          <w:p w14:paraId="5B048482" w14:textId="0044A5A2"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(5,756,846</w:t>
            </w:r>
            <w:r w:rsidR="00FE546F" w:rsidRPr="00042F16">
              <w:rPr>
                <w:rFonts w:ascii="Verdana" w:hAnsi="Verdana"/>
                <w:sz w:val="20"/>
                <w:szCs w:val="20"/>
                <w:lang w:eastAsia="en-GB"/>
              </w:rPr>
              <w:t>)</w:t>
            </w:r>
          </w:p>
        </w:tc>
        <w:tc>
          <w:tcPr>
            <w:tcW w:w="1743" w:type="pct"/>
            <w:tcBorders>
              <w:top w:val="nil"/>
              <w:left w:val="single" w:sz="4" w:space="0" w:color="282828"/>
              <w:bottom w:val="single" w:sz="4" w:space="0" w:color="1F1C1F"/>
              <w:right w:val="single" w:sz="4" w:space="0" w:color="2B2B2B"/>
            </w:tcBorders>
            <w:shd w:val="clear" w:color="000000" w:fill="FFFFFF"/>
            <w:vAlign w:val="center"/>
            <w:hideMark/>
          </w:tcPr>
          <w:p w14:paraId="575C6457"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36 (1) (b), 37</w:t>
            </w:r>
          </w:p>
        </w:tc>
      </w:tr>
      <w:tr w:rsidR="00FE546F" w:rsidRPr="00042F16" w14:paraId="3E259CD9" w14:textId="77777777" w:rsidTr="007E7755">
        <w:trPr>
          <w:trHeight w:val="675"/>
        </w:trPr>
        <w:tc>
          <w:tcPr>
            <w:tcW w:w="299" w:type="pct"/>
            <w:tcBorders>
              <w:top w:val="nil"/>
              <w:left w:val="single" w:sz="4" w:space="0" w:color="231F23"/>
              <w:bottom w:val="single" w:sz="4" w:space="0" w:color="1F1C1F"/>
              <w:right w:val="single" w:sz="4" w:space="0" w:color="484848"/>
            </w:tcBorders>
            <w:shd w:val="clear" w:color="000000" w:fill="FFFFFF"/>
            <w:vAlign w:val="center"/>
            <w:hideMark/>
          </w:tcPr>
          <w:p w14:paraId="0D602B74"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28</w:t>
            </w:r>
          </w:p>
        </w:tc>
        <w:tc>
          <w:tcPr>
            <w:tcW w:w="1972" w:type="pct"/>
            <w:tcBorders>
              <w:top w:val="single" w:sz="4" w:space="0" w:color="3F3B3F"/>
              <w:left w:val="nil"/>
              <w:bottom w:val="single" w:sz="4" w:space="0" w:color="1F1C1F"/>
              <w:right w:val="single" w:sz="4" w:space="0" w:color="484848"/>
            </w:tcBorders>
            <w:shd w:val="clear" w:color="000000" w:fill="FFFFFF"/>
            <w:hideMark/>
          </w:tcPr>
          <w:p w14:paraId="3D6FBE48"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Total regulatory adjustments to Common Equity Tier 1 (CET1)</w:t>
            </w:r>
          </w:p>
        </w:tc>
        <w:tc>
          <w:tcPr>
            <w:tcW w:w="987" w:type="pct"/>
            <w:tcBorders>
              <w:top w:val="nil"/>
              <w:left w:val="nil"/>
              <w:bottom w:val="single" w:sz="4" w:space="0" w:color="1F1C1F"/>
              <w:right w:val="single" w:sz="4" w:space="0" w:color="282828"/>
            </w:tcBorders>
            <w:shd w:val="clear" w:color="000000" w:fill="FFFFFF"/>
            <w:vAlign w:val="center"/>
          </w:tcPr>
          <w:p w14:paraId="02E3B264" w14:textId="03E1FBE5"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(5,756,846</w:t>
            </w:r>
            <w:r w:rsidR="00FE546F" w:rsidRPr="00042F16">
              <w:rPr>
                <w:rFonts w:ascii="Verdana" w:hAnsi="Verdana"/>
                <w:sz w:val="20"/>
                <w:szCs w:val="20"/>
                <w:lang w:eastAsia="en-GB"/>
              </w:rPr>
              <w:t>)</w:t>
            </w:r>
          </w:p>
        </w:tc>
        <w:tc>
          <w:tcPr>
            <w:tcW w:w="1743" w:type="pct"/>
            <w:tcBorders>
              <w:top w:val="nil"/>
              <w:left w:val="nil"/>
              <w:bottom w:val="single" w:sz="4" w:space="0" w:color="1F1C1F"/>
              <w:right w:val="single" w:sz="4" w:space="0" w:color="2B2B2B"/>
            </w:tcBorders>
            <w:shd w:val="clear" w:color="000000" w:fill="FFFFFF"/>
            <w:vAlign w:val="center"/>
            <w:hideMark/>
          </w:tcPr>
          <w:p w14:paraId="743F5ED2"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Sum of rows 7 to 20a</w:t>
            </w:r>
            <w:r w:rsidRPr="00042F16">
              <w:rPr>
                <w:rFonts w:ascii="Verdana" w:hAnsi="Verdana"/>
                <w:color w:val="545454"/>
                <w:sz w:val="20"/>
                <w:szCs w:val="20"/>
                <w:lang w:eastAsia="en-GB"/>
              </w:rPr>
              <w:t xml:space="preserve">, </w:t>
            </w:r>
            <w:r w:rsidRPr="00042F16">
              <w:rPr>
                <w:rFonts w:ascii="Verdana" w:hAnsi="Verdana"/>
                <w:sz w:val="20"/>
                <w:szCs w:val="20"/>
                <w:lang w:eastAsia="en-GB"/>
              </w:rPr>
              <w:t>21</w:t>
            </w:r>
            <w:r w:rsidRPr="00042F16">
              <w:rPr>
                <w:rFonts w:ascii="Verdana" w:hAnsi="Verdana"/>
                <w:color w:val="545454"/>
                <w:sz w:val="20"/>
                <w:szCs w:val="20"/>
                <w:lang w:eastAsia="en-GB"/>
              </w:rPr>
              <w:t xml:space="preserve">, </w:t>
            </w:r>
            <w:r w:rsidRPr="00042F16">
              <w:rPr>
                <w:rFonts w:ascii="Verdana" w:hAnsi="Verdana"/>
                <w:sz w:val="20"/>
                <w:szCs w:val="20"/>
                <w:lang w:eastAsia="en-GB"/>
              </w:rPr>
              <w:t>22 and 25a to 27</w:t>
            </w:r>
          </w:p>
        </w:tc>
      </w:tr>
      <w:tr w:rsidR="00FE546F" w:rsidRPr="00042F16" w14:paraId="7850BDFD" w14:textId="77777777" w:rsidTr="007E7755">
        <w:trPr>
          <w:trHeight w:val="450"/>
        </w:trPr>
        <w:tc>
          <w:tcPr>
            <w:tcW w:w="299" w:type="pct"/>
            <w:tcBorders>
              <w:top w:val="nil"/>
              <w:left w:val="single" w:sz="4" w:space="0" w:color="231F23"/>
              <w:bottom w:val="single" w:sz="4" w:space="0" w:color="443F44"/>
              <w:right w:val="single" w:sz="4" w:space="0" w:color="484848"/>
            </w:tcBorders>
            <w:shd w:val="clear" w:color="000000" w:fill="FFFFFF"/>
            <w:vAlign w:val="center"/>
            <w:hideMark/>
          </w:tcPr>
          <w:p w14:paraId="43FEF34B"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29</w:t>
            </w:r>
          </w:p>
        </w:tc>
        <w:tc>
          <w:tcPr>
            <w:tcW w:w="1972" w:type="pct"/>
            <w:tcBorders>
              <w:top w:val="single" w:sz="4" w:space="0" w:color="1F1C1F"/>
              <w:left w:val="nil"/>
              <w:bottom w:val="single" w:sz="4" w:space="0" w:color="443F44"/>
              <w:right w:val="single" w:sz="4" w:space="0" w:color="484848"/>
            </w:tcBorders>
            <w:shd w:val="clear" w:color="000000" w:fill="FFFFFF"/>
            <w:hideMark/>
          </w:tcPr>
          <w:p w14:paraId="26C86282"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Common Equity Tier 1 (CET1) capital</w:t>
            </w:r>
          </w:p>
        </w:tc>
        <w:tc>
          <w:tcPr>
            <w:tcW w:w="987" w:type="pct"/>
            <w:tcBorders>
              <w:top w:val="nil"/>
              <w:left w:val="nil"/>
              <w:bottom w:val="single" w:sz="4" w:space="0" w:color="443F44"/>
              <w:right w:val="single" w:sz="4" w:space="0" w:color="282828"/>
            </w:tcBorders>
            <w:shd w:val="clear" w:color="000000" w:fill="FFFFFF"/>
            <w:vAlign w:val="center"/>
          </w:tcPr>
          <w:p w14:paraId="7077DC08" w14:textId="2B799A40"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36,144,889</w:t>
            </w:r>
          </w:p>
        </w:tc>
        <w:tc>
          <w:tcPr>
            <w:tcW w:w="1743" w:type="pct"/>
            <w:tcBorders>
              <w:top w:val="nil"/>
              <w:left w:val="nil"/>
              <w:bottom w:val="single" w:sz="4" w:space="0" w:color="443F44"/>
              <w:right w:val="single" w:sz="4" w:space="0" w:color="2B2B2B"/>
            </w:tcBorders>
            <w:shd w:val="clear" w:color="000000" w:fill="FFFFFF"/>
            <w:vAlign w:val="center"/>
            <w:hideMark/>
          </w:tcPr>
          <w:p w14:paraId="414111B2"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Row 6 minus row 28</w:t>
            </w:r>
          </w:p>
        </w:tc>
      </w:tr>
      <w:tr w:rsidR="00FE546F" w:rsidRPr="00042F16" w14:paraId="6245C712" w14:textId="77777777" w:rsidTr="007E7755">
        <w:trPr>
          <w:trHeight w:val="450"/>
        </w:trPr>
        <w:tc>
          <w:tcPr>
            <w:tcW w:w="299" w:type="pct"/>
            <w:tcBorders>
              <w:top w:val="nil"/>
              <w:left w:val="single" w:sz="4" w:space="0" w:color="282328"/>
              <w:bottom w:val="single" w:sz="4" w:space="0" w:color="443F44"/>
              <w:right w:val="single" w:sz="4" w:space="0" w:color="484848"/>
            </w:tcBorders>
            <w:shd w:val="clear" w:color="000000" w:fill="FFFFFF"/>
            <w:vAlign w:val="center"/>
            <w:hideMark/>
          </w:tcPr>
          <w:p w14:paraId="7027635F"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45</w:t>
            </w:r>
          </w:p>
        </w:tc>
        <w:tc>
          <w:tcPr>
            <w:tcW w:w="1972" w:type="pct"/>
            <w:tcBorders>
              <w:top w:val="single" w:sz="4" w:space="0" w:color="484848"/>
              <w:left w:val="nil"/>
              <w:bottom w:val="single" w:sz="4" w:space="0" w:color="443F44"/>
              <w:right w:val="single" w:sz="4" w:space="0" w:color="484848"/>
            </w:tcBorders>
            <w:shd w:val="clear" w:color="000000" w:fill="FFFFFF"/>
            <w:hideMark/>
          </w:tcPr>
          <w:p w14:paraId="321C2A6D" w14:textId="77777777" w:rsidR="00FE546F" w:rsidRPr="00042F16" w:rsidRDefault="00FE546F" w:rsidP="00563B2C">
            <w:pPr>
              <w:spacing w:after="0" w:line="240" w:lineRule="auto"/>
              <w:rPr>
                <w:rFonts w:ascii="Verdana" w:hAnsi="Verdana" w:cs="Calibri"/>
                <w:sz w:val="20"/>
                <w:szCs w:val="20"/>
                <w:lang w:val="fr-CH" w:eastAsia="en-GB"/>
              </w:rPr>
            </w:pPr>
            <w:r w:rsidRPr="00042F16">
              <w:rPr>
                <w:rFonts w:ascii="Verdana" w:hAnsi="Verdana"/>
                <w:sz w:val="20"/>
                <w:szCs w:val="20"/>
                <w:lang w:val="fr-CH" w:eastAsia="en-GB"/>
              </w:rPr>
              <w:t>Tier  1 capital  (T1 = CET1  + AT1)</w:t>
            </w:r>
          </w:p>
        </w:tc>
        <w:tc>
          <w:tcPr>
            <w:tcW w:w="987" w:type="pct"/>
            <w:tcBorders>
              <w:top w:val="nil"/>
              <w:left w:val="nil"/>
              <w:bottom w:val="single" w:sz="4" w:space="0" w:color="443F44"/>
              <w:right w:val="single" w:sz="4" w:space="0" w:color="282828"/>
            </w:tcBorders>
            <w:shd w:val="clear" w:color="000000" w:fill="FFFFFF"/>
            <w:vAlign w:val="center"/>
          </w:tcPr>
          <w:p w14:paraId="7D945543" w14:textId="3A9A5760" w:rsidR="00FE546F" w:rsidRPr="00042F16" w:rsidRDefault="00776F4F" w:rsidP="00563B2C">
            <w:pPr>
              <w:spacing w:after="0" w:line="240" w:lineRule="auto"/>
              <w:jc w:val="right"/>
              <w:rPr>
                <w:rFonts w:ascii="Verdana" w:hAnsi="Verdana"/>
                <w:sz w:val="20"/>
                <w:szCs w:val="20"/>
                <w:lang w:val="fr-CH" w:eastAsia="en-GB"/>
              </w:rPr>
            </w:pPr>
            <w:r>
              <w:rPr>
                <w:rFonts w:ascii="Verdana" w:hAnsi="Verdana"/>
                <w:sz w:val="20"/>
                <w:szCs w:val="20"/>
                <w:lang w:eastAsia="en-GB"/>
              </w:rPr>
              <w:t>36,144,889</w:t>
            </w:r>
          </w:p>
        </w:tc>
        <w:tc>
          <w:tcPr>
            <w:tcW w:w="1743" w:type="pct"/>
            <w:tcBorders>
              <w:top w:val="nil"/>
              <w:left w:val="nil"/>
              <w:bottom w:val="single" w:sz="4" w:space="0" w:color="443F44"/>
              <w:right w:val="single" w:sz="4" w:space="0" w:color="2B2B2B"/>
            </w:tcBorders>
            <w:shd w:val="clear" w:color="000000" w:fill="FFFFFF"/>
            <w:vAlign w:val="center"/>
            <w:hideMark/>
          </w:tcPr>
          <w:p w14:paraId="3E97D7FC"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Sum of ro</w:t>
            </w:r>
            <w:r w:rsidRPr="00042F16">
              <w:rPr>
                <w:rFonts w:ascii="Verdana" w:hAnsi="Verdana"/>
                <w:color w:val="3F3D3F"/>
                <w:sz w:val="20"/>
                <w:szCs w:val="20"/>
                <w:lang w:eastAsia="en-GB"/>
              </w:rPr>
              <w:t xml:space="preserve">w </w:t>
            </w:r>
            <w:r w:rsidRPr="00042F16">
              <w:rPr>
                <w:rFonts w:ascii="Verdana" w:hAnsi="Verdana"/>
                <w:sz w:val="20"/>
                <w:szCs w:val="20"/>
                <w:lang w:eastAsia="en-GB"/>
              </w:rPr>
              <w:t>29 and row 44</w:t>
            </w:r>
          </w:p>
        </w:tc>
      </w:tr>
      <w:tr w:rsidR="00FE546F" w:rsidRPr="00042F16" w14:paraId="6C9D20E8" w14:textId="77777777" w:rsidTr="007E7755">
        <w:trPr>
          <w:trHeight w:val="450"/>
        </w:trPr>
        <w:tc>
          <w:tcPr>
            <w:tcW w:w="299" w:type="pct"/>
            <w:tcBorders>
              <w:top w:val="nil"/>
              <w:left w:val="single" w:sz="4" w:space="0" w:color="282328"/>
              <w:bottom w:val="single" w:sz="4" w:space="0" w:color="3F3B3F"/>
              <w:right w:val="single" w:sz="4" w:space="0" w:color="3F3B3F"/>
            </w:tcBorders>
            <w:shd w:val="clear" w:color="000000" w:fill="FFFFFF"/>
            <w:vAlign w:val="center"/>
            <w:hideMark/>
          </w:tcPr>
          <w:p w14:paraId="258AD320"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59</w:t>
            </w:r>
          </w:p>
        </w:tc>
        <w:tc>
          <w:tcPr>
            <w:tcW w:w="1972" w:type="pct"/>
            <w:tcBorders>
              <w:top w:val="single" w:sz="4" w:space="0" w:color="3B3B3F"/>
              <w:left w:val="nil"/>
              <w:bottom w:val="single" w:sz="4" w:space="0" w:color="3F3B3F"/>
              <w:right w:val="single" w:sz="4" w:space="0" w:color="3F3F3F"/>
            </w:tcBorders>
            <w:shd w:val="clear" w:color="000000" w:fill="FFFFFF"/>
            <w:hideMark/>
          </w:tcPr>
          <w:p w14:paraId="59D24C17" w14:textId="77777777" w:rsidR="00FE546F" w:rsidRPr="00042F16" w:rsidRDefault="00FE546F" w:rsidP="00563B2C">
            <w:pPr>
              <w:spacing w:after="0" w:line="240" w:lineRule="auto"/>
              <w:rPr>
                <w:rFonts w:ascii="Verdana" w:hAnsi="Verdana" w:cs="Calibri"/>
                <w:sz w:val="20"/>
                <w:szCs w:val="20"/>
                <w:lang w:val="fr-CH" w:eastAsia="en-GB"/>
              </w:rPr>
            </w:pPr>
            <w:r w:rsidRPr="00042F16">
              <w:rPr>
                <w:rFonts w:ascii="Verdana" w:hAnsi="Verdana"/>
                <w:sz w:val="20"/>
                <w:szCs w:val="20"/>
                <w:lang w:val="fr-CH" w:eastAsia="en-GB"/>
              </w:rPr>
              <w:t>Total capital (TC = T1 + T2)</w:t>
            </w:r>
          </w:p>
        </w:tc>
        <w:tc>
          <w:tcPr>
            <w:tcW w:w="987" w:type="pct"/>
            <w:tcBorders>
              <w:top w:val="nil"/>
              <w:left w:val="nil"/>
              <w:bottom w:val="single" w:sz="4" w:space="0" w:color="3F3B3F"/>
              <w:right w:val="single" w:sz="4" w:space="0" w:color="2B2828"/>
            </w:tcBorders>
            <w:shd w:val="clear" w:color="000000" w:fill="FFFFFF"/>
            <w:vAlign w:val="center"/>
          </w:tcPr>
          <w:p w14:paraId="73BDE38C" w14:textId="5F41436D" w:rsidR="00FE546F" w:rsidRPr="00042F16" w:rsidRDefault="00776F4F" w:rsidP="00563B2C">
            <w:pPr>
              <w:spacing w:after="0" w:line="240" w:lineRule="auto"/>
              <w:jc w:val="right"/>
              <w:rPr>
                <w:rFonts w:ascii="Verdana" w:hAnsi="Verdana"/>
                <w:sz w:val="20"/>
                <w:szCs w:val="20"/>
                <w:lang w:val="fr-CH" w:eastAsia="en-GB"/>
              </w:rPr>
            </w:pPr>
            <w:r>
              <w:rPr>
                <w:rFonts w:ascii="Verdana" w:hAnsi="Verdana"/>
                <w:sz w:val="20"/>
                <w:szCs w:val="20"/>
                <w:lang w:eastAsia="en-GB"/>
              </w:rPr>
              <w:t>36,144,889</w:t>
            </w:r>
          </w:p>
        </w:tc>
        <w:tc>
          <w:tcPr>
            <w:tcW w:w="1743" w:type="pct"/>
            <w:tcBorders>
              <w:top w:val="nil"/>
              <w:left w:val="nil"/>
              <w:bottom w:val="single" w:sz="4" w:space="0" w:color="3F3B3F"/>
              <w:right w:val="single" w:sz="4" w:space="0" w:color="2B2B2B"/>
            </w:tcBorders>
            <w:shd w:val="clear" w:color="000000" w:fill="FFFFFF"/>
            <w:vAlign w:val="center"/>
            <w:hideMark/>
          </w:tcPr>
          <w:p w14:paraId="56CF5FDA"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Sum of row 45 and row 58</w:t>
            </w:r>
          </w:p>
        </w:tc>
      </w:tr>
      <w:tr w:rsidR="00FE546F" w:rsidRPr="00042F16" w14:paraId="66F866C1" w14:textId="77777777" w:rsidTr="007E7755">
        <w:trPr>
          <w:trHeight w:val="300"/>
        </w:trPr>
        <w:tc>
          <w:tcPr>
            <w:tcW w:w="299" w:type="pct"/>
            <w:tcBorders>
              <w:top w:val="nil"/>
              <w:left w:val="single" w:sz="4" w:space="0" w:color="282328"/>
              <w:bottom w:val="single" w:sz="4" w:space="0" w:color="383438"/>
              <w:right w:val="single" w:sz="4" w:space="0" w:color="3F3B3F"/>
            </w:tcBorders>
            <w:shd w:val="clear" w:color="000000" w:fill="FFFFFF"/>
            <w:vAlign w:val="center"/>
            <w:hideMark/>
          </w:tcPr>
          <w:p w14:paraId="63046801"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60</w:t>
            </w:r>
          </w:p>
        </w:tc>
        <w:tc>
          <w:tcPr>
            <w:tcW w:w="1972" w:type="pct"/>
            <w:tcBorders>
              <w:top w:val="single" w:sz="4" w:space="0" w:color="3F3B3F"/>
              <w:left w:val="nil"/>
              <w:bottom w:val="single" w:sz="4" w:space="0" w:color="383438"/>
              <w:right w:val="single" w:sz="4" w:space="0" w:color="3F3F3F"/>
            </w:tcBorders>
            <w:shd w:val="clear" w:color="000000" w:fill="FFFFFF"/>
            <w:hideMark/>
          </w:tcPr>
          <w:p w14:paraId="3B16D4CA"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Total risk weighted assets</w:t>
            </w:r>
          </w:p>
        </w:tc>
        <w:tc>
          <w:tcPr>
            <w:tcW w:w="987" w:type="pct"/>
            <w:tcBorders>
              <w:top w:val="nil"/>
              <w:left w:val="single" w:sz="4" w:space="0" w:color="484848"/>
              <w:bottom w:val="single" w:sz="4" w:space="0" w:color="1F1C1F"/>
              <w:right w:val="single" w:sz="4" w:space="0" w:color="282828"/>
            </w:tcBorders>
            <w:shd w:val="clear" w:color="000000" w:fill="FFFFFF"/>
            <w:vAlign w:val="center"/>
          </w:tcPr>
          <w:p w14:paraId="75EE2ED5" w14:textId="3B2AD380"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137,181,81</w:t>
            </w:r>
            <w:r w:rsidR="00FE546F" w:rsidRPr="00042F16">
              <w:rPr>
                <w:rFonts w:ascii="Verdana" w:hAnsi="Verdana"/>
                <w:sz w:val="20"/>
                <w:szCs w:val="20"/>
                <w:lang w:eastAsia="en-GB"/>
              </w:rPr>
              <w:t>7</w:t>
            </w:r>
          </w:p>
        </w:tc>
        <w:tc>
          <w:tcPr>
            <w:tcW w:w="1743" w:type="pct"/>
            <w:tcBorders>
              <w:top w:val="nil"/>
              <w:left w:val="single" w:sz="4" w:space="0" w:color="2B2828"/>
              <w:bottom w:val="single" w:sz="4" w:space="0" w:color="383438"/>
              <w:right w:val="single" w:sz="4" w:space="0" w:color="2B2B2B"/>
            </w:tcBorders>
            <w:shd w:val="clear" w:color="000000" w:fill="FFFFFF"/>
            <w:vAlign w:val="center"/>
            <w:hideMark/>
          </w:tcPr>
          <w:p w14:paraId="4D879F55" w14:textId="039560CE" w:rsidR="00FE546F" w:rsidRPr="00042F16" w:rsidRDefault="00FE546F" w:rsidP="00563B2C">
            <w:pPr>
              <w:spacing w:after="0" w:line="240" w:lineRule="auto"/>
              <w:jc w:val="center"/>
              <w:rPr>
                <w:rFonts w:ascii="Verdana" w:hAnsi="Verdana"/>
                <w:sz w:val="20"/>
                <w:szCs w:val="20"/>
                <w:lang w:eastAsia="en-GB"/>
              </w:rPr>
            </w:pPr>
          </w:p>
        </w:tc>
      </w:tr>
      <w:tr w:rsidR="00FE546F" w:rsidRPr="00042F16" w14:paraId="7180F81E" w14:textId="77777777" w:rsidTr="007E7755">
        <w:trPr>
          <w:trHeight w:val="300"/>
        </w:trPr>
        <w:tc>
          <w:tcPr>
            <w:tcW w:w="5000" w:type="pct"/>
            <w:gridSpan w:val="4"/>
            <w:tcBorders>
              <w:top w:val="single" w:sz="4" w:space="0" w:color="383438"/>
              <w:left w:val="single" w:sz="4" w:space="0" w:color="282328"/>
              <w:bottom w:val="single" w:sz="4" w:space="0" w:color="383438"/>
              <w:right w:val="single" w:sz="4" w:space="0" w:color="2B2B2B"/>
            </w:tcBorders>
            <w:shd w:val="clear" w:color="000000" w:fill="FFFFFF"/>
            <w:vAlign w:val="center"/>
            <w:hideMark/>
          </w:tcPr>
          <w:p w14:paraId="628AE303" w14:textId="77777777" w:rsidR="00FE546F" w:rsidRPr="00042F16" w:rsidRDefault="00FE546F" w:rsidP="00563B2C">
            <w:pPr>
              <w:spacing w:after="0" w:line="240" w:lineRule="auto"/>
              <w:jc w:val="left"/>
              <w:rPr>
                <w:rFonts w:ascii="Verdana" w:hAnsi="Verdana" w:cs="Calibri"/>
                <w:b/>
                <w:sz w:val="20"/>
                <w:szCs w:val="20"/>
                <w:lang w:eastAsia="en-GB"/>
              </w:rPr>
            </w:pPr>
            <w:r w:rsidRPr="00042F16">
              <w:rPr>
                <w:rFonts w:ascii="Verdana" w:hAnsi="Verdana"/>
                <w:b/>
                <w:sz w:val="20"/>
                <w:szCs w:val="20"/>
                <w:lang w:eastAsia="en-GB"/>
              </w:rPr>
              <w:t>Capital ratios and buffers</w:t>
            </w:r>
          </w:p>
        </w:tc>
      </w:tr>
      <w:tr w:rsidR="00FE546F" w:rsidRPr="00042F16" w14:paraId="553AC821" w14:textId="77777777" w:rsidTr="007E7755">
        <w:trPr>
          <w:trHeight w:val="300"/>
        </w:trPr>
        <w:tc>
          <w:tcPr>
            <w:tcW w:w="299" w:type="pct"/>
            <w:tcBorders>
              <w:top w:val="nil"/>
              <w:left w:val="single" w:sz="4" w:space="0" w:color="282328"/>
              <w:bottom w:val="single" w:sz="4" w:space="0" w:color="3F3B3F"/>
              <w:right w:val="single" w:sz="4" w:space="0" w:color="443F44"/>
            </w:tcBorders>
            <w:shd w:val="clear" w:color="000000" w:fill="FFFFFF"/>
            <w:vAlign w:val="center"/>
            <w:hideMark/>
          </w:tcPr>
          <w:p w14:paraId="7BBB9E11"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61</w:t>
            </w:r>
          </w:p>
        </w:tc>
        <w:tc>
          <w:tcPr>
            <w:tcW w:w="1972" w:type="pct"/>
            <w:tcBorders>
              <w:top w:val="single" w:sz="4" w:space="0" w:color="383438"/>
              <w:left w:val="nil"/>
              <w:bottom w:val="single" w:sz="4" w:space="0" w:color="3F3B3F"/>
              <w:right w:val="single" w:sz="4" w:space="0" w:color="443F44"/>
            </w:tcBorders>
            <w:shd w:val="clear" w:color="000000" w:fill="FFFFFF"/>
            <w:hideMark/>
          </w:tcPr>
          <w:p w14:paraId="67ABE616"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Common Equity Tier 1 (as a percentage of total risk exposure amount)</w:t>
            </w:r>
          </w:p>
        </w:tc>
        <w:tc>
          <w:tcPr>
            <w:tcW w:w="987" w:type="pct"/>
            <w:tcBorders>
              <w:top w:val="nil"/>
              <w:left w:val="nil"/>
              <w:bottom w:val="single" w:sz="4" w:space="0" w:color="3F3B3F"/>
              <w:right w:val="single" w:sz="4" w:space="0" w:color="2B2828"/>
            </w:tcBorders>
            <w:shd w:val="clear" w:color="000000" w:fill="FFFFFF"/>
            <w:vAlign w:val="center"/>
          </w:tcPr>
          <w:p w14:paraId="48A6DA32" w14:textId="1DE5A2AE"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26.35</w:t>
            </w:r>
            <w:r w:rsidR="00FE546F" w:rsidRPr="00042F16">
              <w:rPr>
                <w:rFonts w:ascii="Verdana" w:hAnsi="Verdana"/>
                <w:sz w:val="20"/>
                <w:szCs w:val="20"/>
                <w:lang w:eastAsia="en-GB"/>
              </w:rPr>
              <w:t>%</w:t>
            </w:r>
          </w:p>
        </w:tc>
        <w:tc>
          <w:tcPr>
            <w:tcW w:w="1743" w:type="pct"/>
            <w:tcBorders>
              <w:top w:val="nil"/>
              <w:left w:val="nil"/>
              <w:bottom w:val="single" w:sz="4" w:space="0" w:color="3F3B3F"/>
              <w:right w:val="single" w:sz="4" w:space="0" w:color="2B2B2B"/>
            </w:tcBorders>
            <w:shd w:val="clear" w:color="000000" w:fill="FFFFFF"/>
            <w:vAlign w:val="center"/>
            <w:hideMark/>
          </w:tcPr>
          <w:p w14:paraId="440D81D6"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92 (2) (a)</w:t>
            </w:r>
          </w:p>
        </w:tc>
      </w:tr>
      <w:tr w:rsidR="00FE546F" w:rsidRPr="00042F16" w14:paraId="67F58181" w14:textId="77777777" w:rsidTr="00776F4F">
        <w:trPr>
          <w:trHeight w:val="300"/>
        </w:trPr>
        <w:tc>
          <w:tcPr>
            <w:tcW w:w="299" w:type="pct"/>
            <w:tcBorders>
              <w:top w:val="nil"/>
              <w:left w:val="single" w:sz="4" w:space="0" w:color="282328"/>
              <w:bottom w:val="single" w:sz="4" w:space="0" w:color="auto"/>
              <w:right w:val="single" w:sz="4" w:space="0" w:color="443F44"/>
            </w:tcBorders>
            <w:shd w:val="clear" w:color="000000" w:fill="FFFFFF"/>
            <w:vAlign w:val="center"/>
            <w:hideMark/>
          </w:tcPr>
          <w:p w14:paraId="4B1C8E94"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62</w:t>
            </w:r>
          </w:p>
        </w:tc>
        <w:tc>
          <w:tcPr>
            <w:tcW w:w="1972" w:type="pct"/>
            <w:tcBorders>
              <w:top w:val="single" w:sz="4" w:space="0" w:color="3F3B3F"/>
              <w:left w:val="nil"/>
              <w:bottom w:val="single" w:sz="4" w:space="0" w:color="auto"/>
              <w:right w:val="single" w:sz="4" w:space="0" w:color="443F44"/>
            </w:tcBorders>
            <w:shd w:val="clear" w:color="000000" w:fill="FFFFFF"/>
            <w:hideMark/>
          </w:tcPr>
          <w:p w14:paraId="21968F85"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Tier 1 (as a percentage of total risk exposure amount)</w:t>
            </w:r>
          </w:p>
        </w:tc>
        <w:tc>
          <w:tcPr>
            <w:tcW w:w="987" w:type="pct"/>
            <w:tcBorders>
              <w:top w:val="nil"/>
              <w:left w:val="nil"/>
              <w:bottom w:val="single" w:sz="4" w:space="0" w:color="auto"/>
              <w:right w:val="single" w:sz="4" w:space="0" w:color="2B2828"/>
            </w:tcBorders>
            <w:shd w:val="clear" w:color="000000" w:fill="FFFFFF"/>
            <w:vAlign w:val="center"/>
          </w:tcPr>
          <w:p w14:paraId="280CAD4C" w14:textId="1D2AA7B6"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26.35</w:t>
            </w:r>
            <w:r w:rsidR="00FE546F" w:rsidRPr="00042F16">
              <w:rPr>
                <w:rFonts w:ascii="Verdana" w:hAnsi="Verdana"/>
                <w:sz w:val="20"/>
                <w:szCs w:val="20"/>
                <w:lang w:eastAsia="en-GB"/>
              </w:rPr>
              <w:t>%</w:t>
            </w:r>
          </w:p>
        </w:tc>
        <w:tc>
          <w:tcPr>
            <w:tcW w:w="1743" w:type="pct"/>
            <w:tcBorders>
              <w:top w:val="nil"/>
              <w:left w:val="nil"/>
              <w:bottom w:val="single" w:sz="4" w:space="0" w:color="auto"/>
              <w:right w:val="single" w:sz="4" w:space="0" w:color="2B2B2B"/>
            </w:tcBorders>
            <w:shd w:val="clear" w:color="000000" w:fill="FFFFFF"/>
            <w:vAlign w:val="center"/>
            <w:hideMark/>
          </w:tcPr>
          <w:p w14:paraId="0960F722"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 xml:space="preserve">92 </w:t>
            </w:r>
            <w:r w:rsidRPr="00042F16">
              <w:rPr>
                <w:rFonts w:ascii="Verdana" w:hAnsi="Verdana"/>
                <w:color w:val="3D3B3D"/>
                <w:sz w:val="20"/>
                <w:szCs w:val="20"/>
                <w:lang w:eastAsia="en-GB"/>
              </w:rPr>
              <w:t xml:space="preserve">(2) </w:t>
            </w:r>
            <w:r w:rsidRPr="00042F16">
              <w:rPr>
                <w:rFonts w:ascii="Verdana" w:hAnsi="Verdana"/>
                <w:sz w:val="20"/>
                <w:szCs w:val="20"/>
                <w:lang w:eastAsia="en-GB"/>
              </w:rPr>
              <w:t>(b)</w:t>
            </w:r>
          </w:p>
        </w:tc>
      </w:tr>
      <w:tr w:rsidR="00FE546F" w:rsidRPr="00042F16" w14:paraId="4E68E8EA" w14:textId="77777777" w:rsidTr="00776F4F">
        <w:trPr>
          <w:trHeight w:val="30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762DDE"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63</w:t>
            </w:r>
          </w:p>
        </w:tc>
        <w:tc>
          <w:tcPr>
            <w:tcW w:w="1972" w:type="pct"/>
            <w:tcBorders>
              <w:top w:val="single" w:sz="4" w:space="0" w:color="auto"/>
              <w:left w:val="single" w:sz="4" w:space="0" w:color="auto"/>
              <w:bottom w:val="single" w:sz="4" w:space="0" w:color="auto"/>
              <w:right w:val="single" w:sz="4" w:space="0" w:color="auto"/>
            </w:tcBorders>
            <w:shd w:val="clear" w:color="000000" w:fill="FFFFFF"/>
            <w:hideMark/>
          </w:tcPr>
          <w:p w14:paraId="60CA8F17" w14:textId="77777777"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Total capital (as a percentage of total risk exposure amount)</w:t>
            </w:r>
          </w:p>
        </w:tc>
        <w:tc>
          <w:tcPr>
            <w:tcW w:w="987" w:type="pct"/>
            <w:tcBorders>
              <w:top w:val="single" w:sz="4" w:space="0" w:color="auto"/>
              <w:left w:val="single" w:sz="4" w:space="0" w:color="auto"/>
              <w:bottom w:val="single" w:sz="4" w:space="0" w:color="auto"/>
              <w:right w:val="single" w:sz="4" w:space="0" w:color="auto"/>
            </w:tcBorders>
            <w:shd w:val="clear" w:color="000000" w:fill="FFFFFF"/>
            <w:vAlign w:val="center"/>
          </w:tcPr>
          <w:p w14:paraId="55E03F58" w14:textId="1F5F9134" w:rsidR="00FE546F"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26.35</w:t>
            </w:r>
            <w:r w:rsidR="00FE546F" w:rsidRPr="00042F16">
              <w:rPr>
                <w:rFonts w:ascii="Verdana" w:hAnsi="Verdana"/>
                <w:sz w:val="20"/>
                <w:szCs w:val="20"/>
                <w:lang w:eastAsia="en-GB"/>
              </w:rPr>
              <w:t>%</w:t>
            </w:r>
          </w:p>
        </w:tc>
        <w:tc>
          <w:tcPr>
            <w:tcW w:w="17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EAF295" w14:textId="77777777"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92 (2) (c)</w:t>
            </w:r>
          </w:p>
        </w:tc>
      </w:tr>
      <w:tr w:rsidR="00776F4F" w:rsidRPr="00042F16" w14:paraId="0CE38B22" w14:textId="77777777" w:rsidTr="00776F4F">
        <w:trPr>
          <w:trHeight w:val="300"/>
        </w:trPr>
        <w:tc>
          <w:tcPr>
            <w:tcW w:w="299" w:type="pct"/>
            <w:tcBorders>
              <w:top w:val="single" w:sz="4" w:space="0" w:color="auto"/>
            </w:tcBorders>
            <w:shd w:val="clear" w:color="000000" w:fill="FFFFFF"/>
            <w:vAlign w:val="center"/>
          </w:tcPr>
          <w:p w14:paraId="3251FDB3" w14:textId="77777777" w:rsidR="00776F4F" w:rsidRPr="00042F16" w:rsidRDefault="00776F4F" w:rsidP="00563B2C">
            <w:pPr>
              <w:spacing w:after="0" w:line="240" w:lineRule="auto"/>
              <w:jc w:val="center"/>
              <w:rPr>
                <w:rFonts w:ascii="Verdana" w:hAnsi="Verdana"/>
                <w:sz w:val="20"/>
                <w:szCs w:val="20"/>
                <w:lang w:eastAsia="en-GB"/>
              </w:rPr>
            </w:pPr>
          </w:p>
        </w:tc>
        <w:tc>
          <w:tcPr>
            <w:tcW w:w="1972" w:type="pct"/>
            <w:tcBorders>
              <w:top w:val="single" w:sz="4" w:space="0" w:color="auto"/>
            </w:tcBorders>
            <w:shd w:val="clear" w:color="000000" w:fill="FFFFFF"/>
          </w:tcPr>
          <w:p w14:paraId="0E7E8ADB" w14:textId="77777777" w:rsidR="00776F4F" w:rsidRPr="00042F16" w:rsidRDefault="00776F4F" w:rsidP="00563B2C">
            <w:pPr>
              <w:spacing w:after="0" w:line="240" w:lineRule="auto"/>
              <w:rPr>
                <w:rFonts w:ascii="Verdana" w:hAnsi="Verdana"/>
                <w:sz w:val="20"/>
                <w:szCs w:val="20"/>
                <w:lang w:eastAsia="en-GB"/>
              </w:rPr>
            </w:pPr>
          </w:p>
        </w:tc>
        <w:tc>
          <w:tcPr>
            <w:tcW w:w="987" w:type="pct"/>
            <w:tcBorders>
              <w:top w:val="single" w:sz="4" w:space="0" w:color="auto"/>
            </w:tcBorders>
            <w:shd w:val="clear" w:color="000000" w:fill="FFFFFF"/>
            <w:vAlign w:val="center"/>
          </w:tcPr>
          <w:p w14:paraId="27A1AA55" w14:textId="77777777" w:rsidR="00776F4F" w:rsidRDefault="00776F4F" w:rsidP="00563B2C">
            <w:pPr>
              <w:spacing w:after="0" w:line="240" w:lineRule="auto"/>
              <w:jc w:val="right"/>
              <w:rPr>
                <w:rFonts w:ascii="Verdana" w:hAnsi="Verdana"/>
                <w:sz w:val="20"/>
                <w:szCs w:val="20"/>
                <w:lang w:eastAsia="en-GB"/>
              </w:rPr>
            </w:pPr>
          </w:p>
        </w:tc>
        <w:tc>
          <w:tcPr>
            <w:tcW w:w="1743" w:type="pct"/>
            <w:tcBorders>
              <w:top w:val="single" w:sz="4" w:space="0" w:color="auto"/>
            </w:tcBorders>
            <w:shd w:val="clear" w:color="000000" w:fill="FFFFFF"/>
            <w:vAlign w:val="center"/>
          </w:tcPr>
          <w:p w14:paraId="00105041" w14:textId="77777777" w:rsidR="00776F4F" w:rsidRPr="00042F16" w:rsidRDefault="00776F4F" w:rsidP="00563B2C">
            <w:pPr>
              <w:spacing w:after="0" w:line="240" w:lineRule="auto"/>
              <w:jc w:val="center"/>
              <w:rPr>
                <w:rFonts w:ascii="Verdana" w:hAnsi="Verdana"/>
                <w:sz w:val="20"/>
                <w:szCs w:val="20"/>
                <w:lang w:eastAsia="en-GB"/>
              </w:rPr>
            </w:pPr>
          </w:p>
        </w:tc>
      </w:tr>
      <w:tr w:rsidR="00776F4F" w:rsidRPr="00042F16" w14:paraId="311DC44E" w14:textId="77777777" w:rsidTr="00776F4F">
        <w:trPr>
          <w:trHeight w:val="300"/>
        </w:trPr>
        <w:tc>
          <w:tcPr>
            <w:tcW w:w="299" w:type="pct"/>
            <w:shd w:val="clear" w:color="000000" w:fill="FFFFFF"/>
            <w:vAlign w:val="center"/>
          </w:tcPr>
          <w:p w14:paraId="70C8CA98" w14:textId="77777777" w:rsidR="00776F4F" w:rsidRPr="00042F16" w:rsidRDefault="00776F4F" w:rsidP="00563B2C">
            <w:pPr>
              <w:spacing w:after="0" w:line="240" w:lineRule="auto"/>
              <w:jc w:val="center"/>
              <w:rPr>
                <w:rFonts w:ascii="Verdana" w:hAnsi="Verdana"/>
                <w:sz w:val="20"/>
                <w:szCs w:val="20"/>
                <w:lang w:eastAsia="en-GB"/>
              </w:rPr>
            </w:pPr>
          </w:p>
        </w:tc>
        <w:tc>
          <w:tcPr>
            <w:tcW w:w="1972" w:type="pct"/>
            <w:shd w:val="clear" w:color="000000" w:fill="FFFFFF"/>
          </w:tcPr>
          <w:p w14:paraId="62110BBF" w14:textId="77777777" w:rsidR="00776F4F" w:rsidRPr="00042F16" w:rsidRDefault="00776F4F" w:rsidP="00563B2C">
            <w:pPr>
              <w:spacing w:after="0" w:line="240" w:lineRule="auto"/>
              <w:rPr>
                <w:rFonts w:ascii="Verdana" w:hAnsi="Verdana"/>
                <w:sz w:val="20"/>
                <w:szCs w:val="20"/>
                <w:lang w:eastAsia="en-GB"/>
              </w:rPr>
            </w:pPr>
          </w:p>
        </w:tc>
        <w:tc>
          <w:tcPr>
            <w:tcW w:w="987" w:type="pct"/>
            <w:shd w:val="clear" w:color="000000" w:fill="FFFFFF"/>
            <w:vAlign w:val="center"/>
          </w:tcPr>
          <w:p w14:paraId="42FC9932" w14:textId="77777777" w:rsidR="00776F4F" w:rsidRDefault="00776F4F" w:rsidP="00563B2C">
            <w:pPr>
              <w:spacing w:after="0" w:line="240" w:lineRule="auto"/>
              <w:jc w:val="right"/>
              <w:rPr>
                <w:rFonts w:ascii="Verdana" w:hAnsi="Verdana"/>
                <w:sz w:val="20"/>
                <w:szCs w:val="20"/>
                <w:lang w:eastAsia="en-GB"/>
              </w:rPr>
            </w:pPr>
          </w:p>
        </w:tc>
        <w:tc>
          <w:tcPr>
            <w:tcW w:w="1743" w:type="pct"/>
            <w:shd w:val="clear" w:color="000000" w:fill="FFFFFF"/>
            <w:vAlign w:val="center"/>
          </w:tcPr>
          <w:p w14:paraId="51221B63" w14:textId="77777777" w:rsidR="00776F4F" w:rsidRDefault="00776F4F" w:rsidP="00563B2C">
            <w:pPr>
              <w:spacing w:after="0" w:line="240" w:lineRule="auto"/>
              <w:jc w:val="center"/>
              <w:rPr>
                <w:rFonts w:ascii="Verdana" w:hAnsi="Verdana"/>
                <w:sz w:val="20"/>
                <w:szCs w:val="20"/>
                <w:lang w:eastAsia="en-GB"/>
              </w:rPr>
            </w:pPr>
          </w:p>
          <w:p w14:paraId="24818E64" w14:textId="77777777" w:rsidR="00776F4F" w:rsidRDefault="00776F4F" w:rsidP="00563B2C">
            <w:pPr>
              <w:spacing w:after="0" w:line="240" w:lineRule="auto"/>
              <w:jc w:val="center"/>
              <w:rPr>
                <w:rFonts w:ascii="Verdana" w:hAnsi="Verdana"/>
                <w:sz w:val="20"/>
                <w:szCs w:val="20"/>
                <w:lang w:eastAsia="en-GB"/>
              </w:rPr>
            </w:pPr>
          </w:p>
          <w:p w14:paraId="19405B9C" w14:textId="77777777" w:rsidR="00776F4F" w:rsidRDefault="00776F4F" w:rsidP="00563B2C">
            <w:pPr>
              <w:spacing w:after="0" w:line="240" w:lineRule="auto"/>
              <w:jc w:val="center"/>
              <w:rPr>
                <w:rFonts w:ascii="Verdana" w:hAnsi="Verdana"/>
                <w:sz w:val="20"/>
                <w:szCs w:val="20"/>
                <w:lang w:eastAsia="en-GB"/>
              </w:rPr>
            </w:pPr>
          </w:p>
          <w:p w14:paraId="6F8DE1D6" w14:textId="77777777" w:rsidR="00776F4F" w:rsidRPr="00042F16" w:rsidRDefault="00776F4F" w:rsidP="00563B2C">
            <w:pPr>
              <w:spacing w:after="0" w:line="240" w:lineRule="auto"/>
              <w:jc w:val="center"/>
              <w:rPr>
                <w:rFonts w:ascii="Verdana" w:hAnsi="Verdana"/>
                <w:sz w:val="20"/>
                <w:szCs w:val="20"/>
                <w:lang w:eastAsia="en-GB"/>
              </w:rPr>
            </w:pPr>
          </w:p>
        </w:tc>
      </w:tr>
      <w:tr w:rsidR="00776F4F" w:rsidRPr="00042F16" w14:paraId="6D09D53E" w14:textId="77777777" w:rsidTr="00776F4F">
        <w:trPr>
          <w:trHeight w:val="300"/>
        </w:trPr>
        <w:tc>
          <w:tcPr>
            <w:tcW w:w="299" w:type="pct"/>
            <w:shd w:val="clear" w:color="000000" w:fill="FFFFFF"/>
            <w:vAlign w:val="center"/>
          </w:tcPr>
          <w:p w14:paraId="05FD2756" w14:textId="77777777" w:rsidR="00776F4F" w:rsidRPr="00042F16" w:rsidRDefault="00776F4F" w:rsidP="00563B2C">
            <w:pPr>
              <w:spacing w:after="0" w:line="240" w:lineRule="auto"/>
              <w:jc w:val="center"/>
              <w:rPr>
                <w:rFonts w:ascii="Verdana" w:hAnsi="Verdana"/>
                <w:sz w:val="20"/>
                <w:szCs w:val="20"/>
                <w:lang w:eastAsia="en-GB"/>
              </w:rPr>
            </w:pPr>
          </w:p>
        </w:tc>
        <w:tc>
          <w:tcPr>
            <w:tcW w:w="1972" w:type="pct"/>
            <w:shd w:val="clear" w:color="000000" w:fill="FFFFFF"/>
          </w:tcPr>
          <w:p w14:paraId="5BDACDEE" w14:textId="77777777" w:rsidR="00776F4F" w:rsidRPr="00042F16" w:rsidRDefault="00776F4F" w:rsidP="00563B2C">
            <w:pPr>
              <w:spacing w:after="0" w:line="240" w:lineRule="auto"/>
              <w:rPr>
                <w:rFonts w:ascii="Verdana" w:hAnsi="Verdana"/>
                <w:sz w:val="20"/>
                <w:szCs w:val="20"/>
                <w:lang w:eastAsia="en-GB"/>
              </w:rPr>
            </w:pPr>
          </w:p>
        </w:tc>
        <w:tc>
          <w:tcPr>
            <w:tcW w:w="987" w:type="pct"/>
            <w:shd w:val="clear" w:color="000000" w:fill="FFFFFF"/>
            <w:vAlign w:val="center"/>
          </w:tcPr>
          <w:p w14:paraId="741B0C6F" w14:textId="77777777" w:rsidR="00776F4F" w:rsidRDefault="00776F4F" w:rsidP="00563B2C">
            <w:pPr>
              <w:spacing w:after="0" w:line="240" w:lineRule="auto"/>
              <w:jc w:val="right"/>
              <w:rPr>
                <w:rFonts w:ascii="Verdana" w:hAnsi="Verdana"/>
                <w:sz w:val="20"/>
                <w:szCs w:val="20"/>
                <w:lang w:eastAsia="en-GB"/>
              </w:rPr>
            </w:pPr>
          </w:p>
        </w:tc>
        <w:tc>
          <w:tcPr>
            <w:tcW w:w="1743" w:type="pct"/>
            <w:shd w:val="clear" w:color="000000" w:fill="FFFFFF"/>
            <w:vAlign w:val="center"/>
          </w:tcPr>
          <w:p w14:paraId="4CB8EA85" w14:textId="77777777" w:rsidR="00776F4F" w:rsidRPr="00042F16" w:rsidRDefault="00776F4F" w:rsidP="00563B2C">
            <w:pPr>
              <w:spacing w:after="0" w:line="240" w:lineRule="auto"/>
              <w:jc w:val="center"/>
              <w:rPr>
                <w:rFonts w:ascii="Verdana" w:hAnsi="Verdana"/>
                <w:sz w:val="20"/>
                <w:szCs w:val="20"/>
                <w:lang w:eastAsia="en-GB"/>
              </w:rPr>
            </w:pPr>
          </w:p>
        </w:tc>
      </w:tr>
      <w:tr w:rsidR="00776F4F" w:rsidRPr="00042F16" w14:paraId="4AC1F946" w14:textId="77777777" w:rsidTr="00776F4F">
        <w:trPr>
          <w:trHeight w:val="300"/>
        </w:trPr>
        <w:tc>
          <w:tcPr>
            <w:tcW w:w="299" w:type="pct"/>
            <w:shd w:val="clear" w:color="000000" w:fill="FFFFFF"/>
            <w:vAlign w:val="center"/>
          </w:tcPr>
          <w:p w14:paraId="0CE4FC92" w14:textId="77777777" w:rsidR="00776F4F" w:rsidRPr="00042F16" w:rsidRDefault="00776F4F" w:rsidP="00563B2C">
            <w:pPr>
              <w:spacing w:after="0" w:line="240" w:lineRule="auto"/>
              <w:jc w:val="center"/>
              <w:rPr>
                <w:rFonts w:ascii="Verdana" w:hAnsi="Verdana"/>
                <w:sz w:val="20"/>
                <w:szCs w:val="20"/>
                <w:lang w:eastAsia="en-GB"/>
              </w:rPr>
            </w:pPr>
          </w:p>
        </w:tc>
        <w:tc>
          <w:tcPr>
            <w:tcW w:w="1972" w:type="pct"/>
            <w:shd w:val="clear" w:color="000000" w:fill="FFFFFF"/>
          </w:tcPr>
          <w:p w14:paraId="47BA12E1" w14:textId="77777777" w:rsidR="00776F4F" w:rsidRPr="00042F16" w:rsidRDefault="00776F4F" w:rsidP="00563B2C">
            <w:pPr>
              <w:spacing w:after="0" w:line="240" w:lineRule="auto"/>
              <w:rPr>
                <w:rFonts w:ascii="Verdana" w:hAnsi="Verdana"/>
                <w:sz w:val="20"/>
                <w:szCs w:val="20"/>
                <w:lang w:eastAsia="en-GB"/>
              </w:rPr>
            </w:pPr>
          </w:p>
        </w:tc>
        <w:tc>
          <w:tcPr>
            <w:tcW w:w="987" w:type="pct"/>
            <w:shd w:val="clear" w:color="000000" w:fill="FFFFFF"/>
            <w:vAlign w:val="center"/>
          </w:tcPr>
          <w:p w14:paraId="48731129" w14:textId="77777777" w:rsidR="00776F4F" w:rsidRDefault="00776F4F" w:rsidP="00563B2C">
            <w:pPr>
              <w:spacing w:after="0" w:line="240" w:lineRule="auto"/>
              <w:jc w:val="right"/>
              <w:rPr>
                <w:rFonts w:ascii="Verdana" w:hAnsi="Verdana"/>
                <w:sz w:val="20"/>
                <w:szCs w:val="20"/>
                <w:lang w:eastAsia="en-GB"/>
              </w:rPr>
            </w:pPr>
          </w:p>
        </w:tc>
        <w:tc>
          <w:tcPr>
            <w:tcW w:w="1743" w:type="pct"/>
            <w:shd w:val="clear" w:color="000000" w:fill="FFFFFF"/>
            <w:vAlign w:val="center"/>
          </w:tcPr>
          <w:p w14:paraId="0166406B" w14:textId="77777777" w:rsidR="00776F4F" w:rsidRPr="00042F16" w:rsidRDefault="00776F4F" w:rsidP="00563B2C">
            <w:pPr>
              <w:spacing w:after="0" w:line="240" w:lineRule="auto"/>
              <w:jc w:val="center"/>
              <w:rPr>
                <w:rFonts w:ascii="Verdana" w:hAnsi="Verdana"/>
                <w:sz w:val="20"/>
                <w:szCs w:val="20"/>
                <w:lang w:eastAsia="en-GB"/>
              </w:rPr>
            </w:pPr>
          </w:p>
        </w:tc>
      </w:tr>
      <w:tr w:rsidR="00776F4F" w:rsidRPr="00042F16" w14:paraId="5791AF8F" w14:textId="77777777" w:rsidTr="00776F4F">
        <w:trPr>
          <w:trHeight w:val="300"/>
        </w:trPr>
        <w:tc>
          <w:tcPr>
            <w:tcW w:w="299" w:type="pct"/>
            <w:tcBorders>
              <w:bottom w:val="single" w:sz="4" w:space="0" w:color="auto"/>
            </w:tcBorders>
            <w:shd w:val="clear" w:color="000000" w:fill="FFFFFF"/>
            <w:vAlign w:val="center"/>
          </w:tcPr>
          <w:p w14:paraId="4CE3245F" w14:textId="77777777" w:rsidR="00776F4F" w:rsidRPr="00042F16" w:rsidRDefault="00776F4F" w:rsidP="00563B2C">
            <w:pPr>
              <w:spacing w:after="0" w:line="240" w:lineRule="auto"/>
              <w:jc w:val="center"/>
              <w:rPr>
                <w:rFonts w:ascii="Verdana" w:hAnsi="Verdana"/>
                <w:sz w:val="20"/>
                <w:szCs w:val="20"/>
                <w:lang w:eastAsia="en-GB"/>
              </w:rPr>
            </w:pPr>
          </w:p>
        </w:tc>
        <w:tc>
          <w:tcPr>
            <w:tcW w:w="1972" w:type="pct"/>
            <w:tcBorders>
              <w:bottom w:val="single" w:sz="4" w:space="0" w:color="auto"/>
            </w:tcBorders>
            <w:shd w:val="clear" w:color="000000" w:fill="FFFFFF"/>
          </w:tcPr>
          <w:p w14:paraId="40F72A6D" w14:textId="77777777" w:rsidR="00776F4F" w:rsidRPr="00042F16" w:rsidRDefault="00776F4F" w:rsidP="00563B2C">
            <w:pPr>
              <w:spacing w:after="0" w:line="240" w:lineRule="auto"/>
              <w:rPr>
                <w:rFonts w:ascii="Verdana" w:hAnsi="Verdana"/>
                <w:sz w:val="20"/>
                <w:szCs w:val="20"/>
                <w:lang w:eastAsia="en-GB"/>
              </w:rPr>
            </w:pPr>
          </w:p>
        </w:tc>
        <w:tc>
          <w:tcPr>
            <w:tcW w:w="987" w:type="pct"/>
            <w:tcBorders>
              <w:bottom w:val="single" w:sz="4" w:space="0" w:color="auto"/>
            </w:tcBorders>
            <w:shd w:val="clear" w:color="000000" w:fill="FFFFFF"/>
            <w:vAlign w:val="center"/>
          </w:tcPr>
          <w:p w14:paraId="6523703C" w14:textId="77777777" w:rsidR="00776F4F" w:rsidRDefault="00776F4F" w:rsidP="00563B2C">
            <w:pPr>
              <w:spacing w:after="0" w:line="240" w:lineRule="auto"/>
              <w:jc w:val="right"/>
              <w:rPr>
                <w:rFonts w:ascii="Verdana" w:hAnsi="Verdana"/>
                <w:sz w:val="20"/>
                <w:szCs w:val="20"/>
                <w:lang w:eastAsia="en-GB"/>
              </w:rPr>
            </w:pPr>
          </w:p>
        </w:tc>
        <w:tc>
          <w:tcPr>
            <w:tcW w:w="1743" w:type="pct"/>
            <w:tcBorders>
              <w:bottom w:val="single" w:sz="4" w:space="0" w:color="auto"/>
            </w:tcBorders>
            <w:shd w:val="clear" w:color="000000" w:fill="FFFFFF"/>
            <w:vAlign w:val="center"/>
          </w:tcPr>
          <w:p w14:paraId="1B95A96E" w14:textId="77777777" w:rsidR="00776F4F" w:rsidRPr="00042F16" w:rsidRDefault="00776F4F" w:rsidP="00776F4F">
            <w:pPr>
              <w:spacing w:after="0" w:line="240" w:lineRule="auto"/>
              <w:rPr>
                <w:rFonts w:ascii="Verdana" w:hAnsi="Verdana"/>
                <w:sz w:val="20"/>
                <w:szCs w:val="20"/>
                <w:lang w:eastAsia="en-GB"/>
              </w:rPr>
            </w:pPr>
          </w:p>
        </w:tc>
      </w:tr>
      <w:tr w:rsidR="00FE546F" w:rsidRPr="00042F16" w14:paraId="49F5245A" w14:textId="77777777" w:rsidTr="00776F4F">
        <w:trPr>
          <w:trHeight w:val="675"/>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BC27FC"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64</w:t>
            </w:r>
          </w:p>
        </w:tc>
        <w:tc>
          <w:tcPr>
            <w:tcW w:w="1972" w:type="pct"/>
            <w:tcBorders>
              <w:top w:val="single" w:sz="4" w:space="0" w:color="auto"/>
              <w:left w:val="single" w:sz="4" w:space="0" w:color="auto"/>
              <w:bottom w:val="single" w:sz="4" w:space="0" w:color="auto"/>
              <w:right w:val="single" w:sz="4" w:space="0" w:color="auto"/>
            </w:tcBorders>
            <w:shd w:val="clear" w:color="000000" w:fill="FFFFFF"/>
            <w:hideMark/>
          </w:tcPr>
          <w:p w14:paraId="3256B342" w14:textId="164762B9" w:rsidR="00FE546F" w:rsidRPr="00042F16" w:rsidRDefault="00FE546F" w:rsidP="00563B2C">
            <w:pPr>
              <w:spacing w:after="0" w:line="240" w:lineRule="auto"/>
              <w:rPr>
                <w:rFonts w:ascii="Verdana" w:hAnsi="Verdana" w:cs="Calibri"/>
                <w:sz w:val="20"/>
                <w:szCs w:val="20"/>
                <w:lang w:eastAsia="en-GB"/>
              </w:rPr>
            </w:pPr>
            <w:r w:rsidRPr="00042F16">
              <w:rPr>
                <w:rFonts w:ascii="Verdana" w:hAnsi="Verdana"/>
                <w:sz w:val="20"/>
                <w:szCs w:val="20"/>
                <w:lang w:eastAsia="en-GB"/>
              </w:rPr>
              <w:t>Institution  specific  buffer  requirement  (CET1  requirement  in  accordance  with article 92 (1) (a) plus capital c</w:t>
            </w:r>
            <w:r w:rsidR="00776F4F">
              <w:rPr>
                <w:rFonts w:ascii="Verdana" w:hAnsi="Verdana"/>
                <w:sz w:val="20"/>
                <w:szCs w:val="20"/>
                <w:lang w:eastAsia="en-GB"/>
              </w:rPr>
              <w:t xml:space="preserve">onservation and countercyclical buffer </w:t>
            </w:r>
            <w:r w:rsidRPr="00042F16">
              <w:rPr>
                <w:rFonts w:ascii="Verdana" w:hAnsi="Verdana"/>
                <w:sz w:val="20"/>
                <w:szCs w:val="20"/>
                <w:lang w:eastAsia="en-GB"/>
              </w:rPr>
              <w:t>requirements, plus systemic risk buffer, plus systemically important institution buffer expressed as a percentage of risk exposure amount)</w:t>
            </w:r>
          </w:p>
        </w:tc>
        <w:tc>
          <w:tcPr>
            <w:tcW w:w="987" w:type="pct"/>
            <w:tcBorders>
              <w:top w:val="single" w:sz="4" w:space="0" w:color="auto"/>
              <w:left w:val="single" w:sz="4" w:space="0" w:color="auto"/>
              <w:bottom w:val="single" w:sz="4" w:space="0" w:color="auto"/>
              <w:right w:val="single" w:sz="4" w:space="0" w:color="auto"/>
            </w:tcBorders>
            <w:shd w:val="clear" w:color="000000" w:fill="FFFFFF"/>
            <w:vAlign w:val="center"/>
          </w:tcPr>
          <w:p w14:paraId="4327B41B" w14:textId="1752469D" w:rsidR="00FE546F" w:rsidRPr="00042F16" w:rsidRDefault="00FE546F" w:rsidP="00776F4F">
            <w:pPr>
              <w:spacing w:after="0" w:line="240" w:lineRule="auto"/>
              <w:jc w:val="right"/>
              <w:rPr>
                <w:rFonts w:ascii="Verdana" w:hAnsi="Verdana"/>
                <w:sz w:val="20"/>
                <w:szCs w:val="20"/>
                <w:lang w:eastAsia="en-GB"/>
              </w:rPr>
            </w:pPr>
            <w:r w:rsidRPr="00042F16">
              <w:rPr>
                <w:rFonts w:ascii="Verdana" w:hAnsi="Verdana"/>
                <w:sz w:val="20"/>
                <w:szCs w:val="20"/>
                <w:lang w:eastAsia="en-GB"/>
              </w:rPr>
              <w:t>2,7</w:t>
            </w:r>
            <w:r w:rsidR="00776F4F">
              <w:rPr>
                <w:rFonts w:ascii="Verdana" w:hAnsi="Verdana"/>
                <w:sz w:val="20"/>
                <w:szCs w:val="20"/>
                <w:lang w:eastAsia="en-GB"/>
              </w:rPr>
              <w:t>43</w:t>
            </w:r>
            <w:r w:rsidRPr="00042F16">
              <w:rPr>
                <w:rFonts w:ascii="Verdana" w:hAnsi="Verdana"/>
                <w:sz w:val="20"/>
                <w:szCs w:val="20"/>
                <w:lang w:eastAsia="en-GB"/>
              </w:rPr>
              <w:t>,</w:t>
            </w:r>
            <w:r w:rsidR="00776F4F">
              <w:rPr>
                <w:rFonts w:ascii="Verdana" w:hAnsi="Verdana"/>
                <w:sz w:val="20"/>
                <w:szCs w:val="20"/>
                <w:lang w:eastAsia="en-GB"/>
              </w:rPr>
              <w:t>636</w:t>
            </w:r>
          </w:p>
        </w:tc>
        <w:tc>
          <w:tcPr>
            <w:tcW w:w="17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35546F" w14:textId="0CD8DE1B" w:rsidR="00FE546F" w:rsidRPr="00042F16" w:rsidRDefault="00FE546F" w:rsidP="00563B2C">
            <w:pPr>
              <w:spacing w:after="0" w:line="240" w:lineRule="auto"/>
              <w:jc w:val="center"/>
              <w:rPr>
                <w:rFonts w:ascii="Verdana" w:hAnsi="Verdana" w:cs="Calibri"/>
                <w:sz w:val="20"/>
                <w:szCs w:val="20"/>
                <w:lang w:eastAsia="en-GB"/>
              </w:rPr>
            </w:pPr>
            <w:r w:rsidRPr="00042F16">
              <w:rPr>
                <w:rFonts w:ascii="Verdana" w:hAnsi="Verdana"/>
                <w:sz w:val="20"/>
                <w:szCs w:val="20"/>
                <w:lang w:eastAsia="en-GB"/>
              </w:rPr>
              <w:t>CRD 128, 129, 130, 131, 133</w:t>
            </w:r>
          </w:p>
        </w:tc>
      </w:tr>
      <w:tr w:rsidR="00FE546F" w:rsidRPr="00042F16" w14:paraId="20C82FB3" w14:textId="77777777" w:rsidTr="00776F4F">
        <w:trPr>
          <w:trHeight w:val="300"/>
        </w:trPr>
        <w:tc>
          <w:tcPr>
            <w:tcW w:w="299" w:type="pct"/>
            <w:tcBorders>
              <w:top w:val="single" w:sz="4" w:space="0" w:color="auto"/>
              <w:left w:val="single" w:sz="4" w:space="0" w:color="282328"/>
              <w:bottom w:val="single" w:sz="4" w:space="0" w:color="1F1C1F"/>
              <w:right w:val="single" w:sz="4" w:space="0" w:color="443F44"/>
            </w:tcBorders>
            <w:shd w:val="clear" w:color="000000" w:fill="FFFFFF"/>
            <w:vAlign w:val="center"/>
            <w:hideMark/>
          </w:tcPr>
          <w:p w14:paraId="5C807E77" w14:textId="77777777" w:rsidR="00FE546F" w:rsidRPr="00042F16" w:rsidRDefault="00FE546F"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65</w:t>
            </w:r>
          </w:p>
        </w:tc>
        <w:tc>
          <w:tcPr>
            <w:tcW w:w="1972" w:type="pct"/>
            <w:tcBorders>
              <w:top w:val="single" w:sz="4" w:space="0" w:color="auto"/>
              <w:left w:val="nil"/>
              <w:bottom w:val="single" w:sz="4" w:space="0" w:color="1F1C1F"/>
              <w:right w:val="single" w:sz="4" w:space="0" w:color="443F44"/>
            </w:tcBorders>
            <w:shd w:val="clear" w:color="000000" w:fill="FFFFFF"/>
            <w:vAlign w:val="center"/>
            <w:hideMark/>
          </w:tcPr>
          <w:p w14:paraId="4880790A" w14:textId="77777777" w:rsidR="00FE546F" w:rsidRPr="00042F16" w:rsidRDefault="00FE546F" w:rsidP="00563B2C">
            <w:pPr>
              <w:spacing w:after="0" w:line="240" w:lineRule="auto"/>
              <w:jc w:val="left"/>
              <w:rPr>
                <w:rFonts w:ascii="Verdana" w:hAnsi="Verdana" w:cs="Calibri"/>
                <w:sz w:val="20"/>
                <w:szCs w:val="20"/>
                <w:lang w:eastAsia="en-GB"/>
              </w:rPr>
            </w:pPr>
            <w:r w:rsidRPr="00042F16">
              <w:rPr>
                <w:rFonts w:ascii="Verdana" w:hAnsi="Verdana"/>
                <w:sz w:val="20"/>
                <w:szCs w:val="20"/>
                <w:lang w:eastAsia="en-GB"/>
              </w:rPr>
              <w:t>of which</w:t>
            </w:r>
            <w:r w:rsidRPr="00042F16">
              <w:rPr>
                <w:rFonts w:ascii="Verdana" w:hAnsi="Verdana"/>
                <w:color w:val="575959"/>
                <w:sz w:val="20"/>
                <w:szCs w:val="20"/>
                <w:lang w:eastAsia="en-GB"/>
              </w:rPr>
              <w:t xml:space="preserve">: </w:t>
            </w:r>
            <w:r w:rsidRPr="00042F16">
              <w:rPr>
                <w:rFonts w:ascii="Verdana" w:hAnsi="Verdana"/>
                <w:sz w:val="20"/>
                <w:szCs w:val="20"/>
                <w:lang w:eastAsia="en-GB"/>
              </w:rPr>
              <w:t>capital conservation buffer requirement</w:t>
            </w:r>
          </w:p>
        </w:tc>
        <w:tc>
          <w:tcPr>
            <w:tcW w:w="987" w:type="pct"/>
            <w:tcBorders>
              <w:top w:val="single" w:sz="4" w:space="0" w:color="auto"/>
              <w:left w:val="nil"/>
              <w:bottom w:val="single" w:sz="4" w:space="0" w:color="1F1C1F"/>
              <w:right w:val="single" w:sz="4" w:space="0" w:color="2B2828"/>
            </w:tcBorders>
            <w:shd w:val="clear" w:color="000000" w:fill="FFFFFF"/>
            <w:vAlign w:val="center"/>
          </w:tcPr>
          <w:p w14:paraId="03B05E5C" w14:textId="6367A902" w:rsidR="00FE546F" w:rsidRPr="00042F16" w:rsidRDefault="00FE546F" w:rsidP="00776F4F">
            <w:pPr>
              <w:spacing w:after="0" w:line="240" w:lineRule="auto"/>
              <w:jc w:val="right"/>
              <w:rPr>
                <w:rFonts w:ascii="Verdana" w:hAnsi="Verdana"/>
                <w:sz w:val="20"/>
                <w:szCs w:val="20"/>
                <w:lang w:eastAsia="en-GB"/>
              </w:rPr>
            </w:pPr>
            <w:r w:rsidRPr="00042F16">
              <w:rPr>
                <w:rFonts w:ascii="Verdana" w:hAnsi="Verdana"/>
                <w:sz w:val="20"/>
                <w:szCs w:val="20"/>
                <w:lang w:eastAsia="en-GB"/>
              </w:rPr>
              <w:t>2,</w:t>
            </w:r>
            <w:r w:rsidR="00776F4F">
              <w:rPr>
                <w:rFonts w:ascii="Verdana" w:hAnsi="Verdana"/>
                <w:sz w:val="20"/>
                <w:szCs w:val="20"/>
                <w:lang w:eastAsia="en-GB"/>
              </w:rPr>
              <w:t>743</w:t>
            </w:r>
            <w:r w:rsidRPr="00042F16">
              <w:rPr>
                <w:rFonts w:ascii="Verdana" w:hAnsi="Verdana"/>
                <w:sz w:val="20"/>
                <w:szCs w:val="20"/>
                <w:lang w:eastAsia="en-GB"/>
              </w:rPr>
              <w:t>,</w:t>
            </w:r>
            <w:r w:rsidR="00776F4F">
              <w:rPr>
                <w:rFonts w:ascii="Verdana" w:hAnsi="Verdana"/>
                <w:sz w:val="20"/>
                <w:szCs w:val="20"/>
                <w:lang w:eastAsia="en-GB"/>
              </w:rPr>
              <w:t>636</w:t>
            </w:r>
          </w:p>
        </w:tc>
        <w:tc>
          <w:tcPr>
            <w:tcW w:w="1743" w:type="pct"/>
            <w:tcBorders>
              <w:top w:val="single" w:sz="4" w:space="0" w:color="auto"/>
              <w:left w:val="nil"/>
              <w:bottom w:val="single" w:sz="4" w:space="0" w:color="1F1C1F"/>
              <w:right w:val="single" w:sz="4" w:space="0" w:color="2B2B2B"/>
            </w:tcBorders>
            <w:shd w:val="clear" w:color="000000" w:fill="FFFFFF"/>
            <w:hideMark/>
          </w:tcPr>
          <w:p w14:paraId="2020AE37" w14:textId="77777777" w:rsidR="00FE546F" w:rsidRPr="00042F16" w:rsidRDefault="00FE546F" w:rsidP="00563B2C">
            <w:pPr>
              <w:spacing w:after="0" w:line="240" w:lineRule="auto"/>
              <w:rPr>
                <w:rFonts w:ascii="Verdana" w:hAnsi="Verdana"/>
                <w:sz w:val="20"/>
                <w:szCs w:val="20"/>
                <w:lang w:eastAsia="en-GB"/>
              </w:rPr>
            </w:pPr>
            <w:r w:rsidRPr="00042F16">
              <w:rPr>
                <w:rFonts w:ascii="Verdana" w:hAnsi="Verdana"/>
                <w:sz w:val="20"/>
                <w:szCs w:val="20"/>
                <w:lang w:eastAsia="en-GB"/>
              </w:rPr>
              <w:t> </w:t>
            </w:r>
          </w:p>
        </w:tc>
      </w:tr>
    </w:tbl>
    <w:p w14:paraId="79C1B83C" w14:textId="77777777" w:rsidR="00563B2C" w:rsidRPr="00563B2C" w:rsidRDefault="00563B2C" w:rsidP="00563B2C">
      <w:pPr>
        <w:spacing w:after="0" w:line="240" w:lineRule="auto"/>
      </w:pPr>
      <w:bookmarkStart w:id="28" w:name="_Toc20751510"/>
      <w:bookmarkEnd w:id="28"/>
    </w:p>
    <w:p w14:paraId="51EDFA60" w14:textId="509099FD" w:rsidR="006C461B" w:rsidRPr="00563B2C" w:rsidRDefault="006C461B" w:rsidP="00563B2C">
      <w:pPr>
        <w:pStyle w:val="Heading2"/>
        <w:spacing w:before="0" w:line="240" w:lineRule="auto"/>
        <w:ind w:left="567" w:hanging="567"/>
        <w:rPr>
          <w:rFonts w:ascii="Verdana" w:hAnsi="Verdana"/>
          <w:b/>
          <w:color w:val="6CACE4"/>
          <w:sz w:val="22"/>
          <w:szCs w:val="22"/>
        </w:rPr>
      </w:pPr>
      <w:bookmarkStart w:id="29" w:name="_Toc22716584"/>
      <w:r w:rsidRPr="00563B2C">
        <w:rPr>
          <w:rFonts w:ascii="Verdana" w:hAnsi="Verdana"/>
          <w:b/>
          <w:color w:val="6CACE4"/>
          <w:sz w:val="22"/>
          <w:szCs w:val="22"/>
        </w:rPr>
        <w:t>Description of Equity items</w:t>
      </w:r>
      <w:bookmarkEnd w:id="29"/>
    </w:p>
    <w:p w14:paraId="7F20D5DF" w14:textId="77777777" w:rsidR="00042F16" w:rsidRPr="00042F16" w:rsidRDefault="00042F16" w:rsidP="00563B2C">
      <w:pPr>
        <w:spacing w:after="0" w:line="240" w:lineRule="auto"/>
      </w:pPr>
    </w:p>
    <w:p w14:paraId="491E5589" w14:textId="1ABB3AD1" w:rsidR="009F5E59" w:rsidRDefault="004830C8" w:rsidP="00563B2C">
      <w:pPr>
        <w:spacing w:after="0" w:line="240" w:lineRule="auto"/>
        <w:rPr>
          <w:rFonts w:ascii="Verdana" w:hAnsi="Verdana"/>
          <w:sz w:val="20"/>
          <w:szCs w:val="20"/>
        </w:rPr>
      </w:pPr>
      <w:r w:rsidRPr="00042F16">
        <w:rPr>
          <w:rFonts w:ascii="Verdana" w:hAnsi="Verdana"/>
          <w:sz w:val="20"/>
          <w:szCs w:val="20"/>
        </w:rPr>
        <w:t xml:space="preserve">The </w:t>
      </w:r>
      <w:r w:rsidR="00065FBF" w:rsidRPr="00042F16">
        <w:rPr>
          <w:rFonts w:ascii="Verdana" w:hAnsi="Verdana"/>
          <w:sz w:val="20"/>
          <w:szCs w:val="20"/>
        </w:rPr>
        <w:t xml:space="preserve">Company’s </w:t>
      </w:r>
      <w:r w:rsidRPr="00042F16">
        <w:rPr>
          <w:rFonts w:ascii="Verdana" w:hAnsi="Verdana"/>
          <w:sz w:val="20"/>
          <w:szCs w:val="20"/>
        </w:rPr>
        <w:t xml:space="preserve">regulatory capital consists only of Tier 1 capital, which includes the paid up capital instruments, the previous years retained earnings and the other reserves. </w:t>
      </w:r>
      <w:r w:rsidR="00577BB6" w:rsidRPr="00042F16">
        <w:rPr>
          <w:rFonts w:ascii="Verdana" w:hAnsi="Verdana"/>
          <w:sz w:val="20"/>
          <w:szCs w:val="20"/>
        </w:rPr>
        <w:t>The Company is not a listed company.</w:t>
      </w:r>
    </w:p>
    <w:p w14:paraId="1BCC29E9" w14:textId="77777777" w:rsidR="00563B2C" w:rsidRPr="00042F16" w:rsidRDefault="00563B2C" w:rsidP="00563B2C">
      <w:pPr>
        <w:spacing w:after="0" w:line="240" w:lineRule="auto"/>
        <w:rPr>
          <w:rFonts w:ascii="Verdana" w:hAnsi="Verdana"/>
          <w:sz w:val="20"/>
          <w:szCs w:val="20"/>
        </w:rPr>
      </w:pPr>
    </w:p>
    <w:p w14:paraId="4347991A" w14:textId="512EDF05" w:rsidR="00087231" w:rsidRPr="00563B2C" w:rsidRDefault="009F082C" w:rsidP="00563B2C">
      <w:pPr>
        <w:pStyle w:val="Heading1"/>
        <w:spacing w:before="0" w:after="0" w:line="240" w:lineRule="auto"/>
        <w:ind w:left="567" w:hanging="567"/>
        <w:rPr>
          <w:rFonts w:ascii="Verdana" w:hAnsi="Verdana"/>
          <w:b/>
          <w:color w:val="6CACE4"/>
          <w:sz w:val="24"/>
          <w:szCs w:val="24"/>
          <w:u w:val="single"/>
        </w:rPr>
      </w:pPr>
      <w:bookmarkStart w:id="30" w:name="_Toc20822762"/>
      <w:bookmarkStart w:id="31" w:name="_Toc21277214"/>
      <w:bookmarkStart w:id="32" w:name="_Toc21599360"/>
      <w:bookmarkStart w:id="33" w:name="_Toc21617208"/>
      <w:bookmarkStart w:id="34" w:name="_Toc20822934"/>
      <w:bookmarkStart w:id="35" w:name="_Toc21277386"/>
      <w:bookmarkStart w:id="36" w:name="_Toc21599532"/>
      <w:bookmarkStart w:id="37" w:name="_Toc21617380"/>
      <w:bookmarkStart w:id="38" w:name="_Toc22716585"/>
      <w:bookmarkEnd w:id="30"/>
      <w:bookmarkEnd w:id="31"/>
      <w:bookmarkEnd w:id="32"/>
      <w:bookmarkEnd w:id="33"/>
      <w:bookmarkEnd w:id="34"/>
      <w:bookmarkEnd w:id="35"/>
      <w:bookmarkEnd w:id="36"/>
      <w:bookmarkEnd w:id="37"/>
      <w:r w:rsidRPr="00563B2C">
        <w:rPr>
          <w:rFonts w:ascii="Verdana" w:hAnsi="Verdana"/>
          <w:b/>
          <w:color w:val="6CACE4"/>
          <w:sz w:val="24"/>
          <w:szCs w:val="24"/>
          <w:u w:val="single"/>
        </w:rPr>
        <w:t>Capital requirements (Art.438 CRR)</w:t>
      </w:r>
      <w:bookmarkEnd w:id="38"/>
    </w:p>
    <w:p w14:paraId="1CEDBDEF" w14:textId="77777777" w:rsidR="00563B2C" w:rsidRPr="00563B2C" w:rsidRDefault="00563B2C" w:rsidP="00563B2C">
      <w:pPr>
        <w:spacing w:after="0" w:line="240" w:lineRule="auto"/>
        <w:ind w:left="567" w:hanging="567"/>
        <w:rPr>
          <w:color w:val="6CACE4"/>
        </w:rPr>
      </w:pPr>
    </w:p>
    <w:p w14:paraId="759F4761" w14:textId="5D88A657" w:rsidR="009F082C" w:rsidRPr="00563B2C" w:rsidRDefault="009F082C" w:rsidP="00563B2C">
      <w:pPr>
        <w:pStyle w:val="Heading2"/>
        <w:spacing w:before="0" w:line="240" w:lineRule="auto"/>
        <w:ind w:left="567" w:hanging="567"/>
        <w:rPr>
          <w:rFonts w:ascii="Verdana" w:hAnsi="Verdana"/>
          <w:b/>
          <w:color w:val="6CACE4"/>
          <w:sz w:val="22"/>
          <w:szCs w:val="22"/>
        </w:rPr>
      </w:pPr>
      <w:bookmarkStart w:id="39" w:name="_Toc22716586"/>
      <w:r w:rsidRPr="00563B2C">
        <w:rPr>
          <w:rFonts w:ascii="Verdana" w:hAnsi="Verdana"/>
          <w:b/>
          <w:color w:val="6CACE4"/>
          <w:sz w:val="22"/>
          <w:szCs w:val="22"/>
        </w:rPr>
        <w:t>Pillar I Capital requirements</w:t>
      </w:r>
      <w:bookmarkEnd w:id="39"/>
    </w:p>
    <w:p w14:paraId="2D7762B3" w14:textId="77777777" w:rsidR="00563B2C" w:rsidRPr="00563B2C" w:rsidRDefault="00563B2C" w:rsidP="00563B2C">
      <w:pPr>
        <w:spacing w:after="0" w:line="240" w:lineRule="auto"/>
      </w:pPr>
    </w:p>
    <w:p w14:paraId="2538D7EB" w14:textId="3327F3A6" w:rsidR="00FD4AE2" w:rsidRDefault="00FD4AE2" w:rsidP="00563B2C">
      <w:pPr>
        <w:spacing w:after="0" w:line="240" w:lineRule="auto"/>
        <w:rPr>
          <w:rFonts w:ascii="Verdana" w:hAnsi="Verdana"/>
          <w:sz w:val="20"/>
          <w:szCs w:val="20"/>
        </w:rPr>
      </w:pPr>
      <w:r w:rsidRPr="00042F16">
        <w:rPr>
          <w:rFonts w:ascii="Verdana" w:hAnsi="Verdana"/>
          <w:sz w:val="20"/>
          <w:szCs w:val="20"/>
        </w:rPr>
        <w:t xml:space="preserve">In conformity with Regulation (EU) 575/2013, </w:t>
      </w:r>
      <w:r w:rsidR="006E0D60" w:rsidRPr="00042F16">
        <w:rPr>
          <w:rFonts w:ascii="Verdana" w:hAnsi="Verdana"/>
          <w:sz w:val="20"/>
          <w:szCs w:val="20"/>
        </w:rPr>
        <w:t>T</w:t>
      </w:r>
      <w:r w:rsidRPr="00042F16">
        <w:rPr>
          <w:rFonts w:ascii="Verdana" w:hAnsi="Verdana"/>
          <w:sz w:val="20"/>
          <w:szCs w:val="20"/>
        </w:rPr>
        <w:t xml:space="preserve">he </w:t>
      </w:r>
      <w:r w:rsidR="00065FBF" w:rsidRPr="00042F16">
        <w:rPr>
          <w:rFonts w:ascii="Verdana" w:hAnsi="Verdana"/>
          <w:sz w:val="20"/>
          <w:szCs w:val="20"/>
        </w:rPr>
        <w:t xml:space="preserve">Company’s </w:t>
      </w:r>
      <w:r w:rsidRPr="00042F16">
        <w:rPr>
          <w:rFonts w:ascii="Verdana" w:hAnsi="Verdana"/>
          <w:sz w:val="20"/>
          <w:szCs w:val="20"/>
        </w:rPr>
        <w:t>total own funds must equal at least 8% of the Ca</w:t>
      </w:r>
      <w:r w:rsidR="00F83534" w:rsidRPr="00042F16">
        <w:rPr>
          <w:rFonts w:ascii="Verdana" w:hAnsi="Verdana"/>
          <w:sz w:val="20"/>
          <w:szCs w:val="20"/>
        </w:rPr>
        <w:t>pital Requirements for Operational</w:t>
      </w:r>
      <w:r w:rsidRPr="00042F16">
        <w:rPr>
          <w:rFonts w:ascii="Verdana" w:hAnsi="Verdana"/>
          <w:sz w:val="20"/>
          <w:szCs w:val="20"/>
        </w:rPr>
        <w:t xml:space="preserve"> Risk</w:t>
      </w:r>
      <w:r w:rsidR="00876296" w:rsidRPr="00042F16">
        <w:rPr>
          <w:rFonts w:ascii="Verdana" w:hAnsi="Verdana"/>
          <w:sz w:val="20"/>
          <w:szCs w:val="20"/>
        </w:rPr>
        <w:t xml:space="preserve"> (see 6.5.)</w:t>
      </w:r>
      <w:r w:rsidRPr="00042F16">
        <w:rPr>
          <w:rFonts w:ascii="Verdana" w:hAnsi="Verdana"/>
          <w:sz w:val="20"/>
          <w:szCs w:val="20"/>
        </w:rPr>
        <w:t xml:space="preserve">, Credit Risk </w:t>
      </w:r>
      <w:r w:rsidR="00876296" w:rsidRPr="00042F16">
        <w:rPr>
          <w:rFonts w:ascii="Verdana" w:hAnsi="Verdana"/>
          <w:sz w:val="20"/>
          <w:szCs w:val="20"/>
        </w:rPr>
        <w:t xml:space="preserve">(see 6.1.) </w:t>
      </w:r>
      <w:r w:rsidRPr="00042F16">
        <w:rPr>
          <w:rFonts w:ascii="Verdana" w:hAnsi="Verdana"/>
          <w:sz w:val="20"/>
          <w:szCs w:val="20"/>
        </w:rPr>
        <w:t xml:space="preserve">and Market Risk </w:t>
      </w:r>
      <w:r w:rsidR="00876296" w:rsidRPr="00042F16">
        <w:rPr>
          <w:rFonts w:ascii="Verdana" w:hAnsi="Verdana"/>
          <w:sz w:val="20"/>
          <w:szCs w:val="20"/>
        </w:rPr>
        <w:t xml:space="preserve">(see 6.4) </w:t>
      </w:r>
      <w:r w:rsidRPr="00042F16">
        <w:rPr>
          <w:rFonts w:ascii="Verdana" w:hAnsi="Verdana"/>
          <w:sz w:val="20"/>
          <w:szCs w:val="20"/>
        </w:rPr>
        <w:t xml:space="preserve">multiplied by 12.5. </w:t>
      </w:r>
    </w:p>
    <w:p w14:paraId="3B55DCC1" w14:textId="77777777" w:rsidR="00563B2C" w:rsidRPr="00042F16" w:rsidRDefault="00563B2C" w:rsidP="00563B2C">
      <w:pPr>
        <w:spacing w:after="0" w:line="240" w:lineRule="auto"/>
        <w:rPr>
          <w:rFonts w:ascii="Verdana" w:hAnsi="Verdana"/>
          <w:sz w:val="20"/>
          <w:szCs w:val="20"/>
        </w:rPr>
      </w:pPr>
    </w:p>
    <w:p w14:paraId="2C3DE397" w14:textId="4738B46E" w:rsidR="00FD4AE2" w:rsidRDefault="002F2ED1" w:rsidP="00563B2C">
      <w:pPr>
        <w:spacing w:after="0" w:line="240" w:lineRule="auto"/>
        <w:rPr>
          <w:rFonts w:ascii="Verdana" w:hAnsi="Verdana"/>
          <w:sz w:val="20"/>
          <w:szCs w:val="20"/>
        </w:rPr>
      </w:pPr>
      <w:r w:rsidRPr="00042F16">
        <w:rPr>
          <w:rFonts w:ascii="Verdana" w:hAnsi="Verdana"/>
          <w:sz w:val="20"/>
          <w:szCs w:val="20"/>
        </w:rPr>
        <w:t>The Company</w:t>
      </w:r>
      <w:r w:rsidR="00FD4AE2" w:rsidRPr="00042F16">
        <w:rPr>
          <w:rFonts w:ascii="Verdana" w:hAnsi="Verdana"/>
          <w:sz w:val="20"/>
          <w:szCs w:val="20"/>
        </w:rPr>
        <w:t xml:space="preserve"> is calculating its capital requireme</w:t>
      </w:r>
      <w:r w:rsidR="00F83534" w:rsidRPr="00042F16">
        <w:rPr>
          <w:rFonts w:ascii="Verdana" w:hAnsi="Verdana"/>
          <w:sz w:val="20"/>
          <w:szCs w:val="20"/>
        </w:rPr>
        <w:t xml:space="preserve">nts in accordance with </w:t>
      </w:r>
      <w:r w:rsidR="003C5C14" w:rsidRPr="00042F16">
        <w:rPr>
          <w:rFonts w:ascii="Verdana" w:hAnsi="Verdana"/>
          <w:sz w:val="20"/>
          <w:szCs w:val="20"/>
        </w:rPr>
        <w:t>the CRR requirements (laid down in Part III, Title, II, chapter 2)</w:t>
      </w:r>
      <w:r w:rsidR="00FD4AE2" w:rsidRPr="00042F16">
        <w:rPr>
          <w:rFonts w:ascii="Verdana" w:hAnsi="Verdana"/>
          <w:sz w:val="20"/>
          <w:szCs w:val="20"/>
        </w:rPr>
        <w:t xml:space="preserve"> by adapting 8% of the risk-weighted exposure amounts for each of the exposure classes specified in article 112. The minimum capital requirements (8% of risk-weighted assets) disclosed according </w:t>
      </w:r>
      <w:r w:rsidR="00F83534" w:rsidRPr="00042F16">
        <w:rPr>
          <w:rFonts w:ascii="Verdana" w:hAnsi="Verdana"/>
          <w:sz w:val="20"/>
          <w:szCs w:val="20"/>
        </w:rPr>
        <w:t xml:space="preserve">to </w:t>
      </w:r>
      <w:r w:rsidR="00FD4AE2" w:rsidRPr="00042F16">
        <w:rPr>
          <w:rFonts w:ascii="Verdana" w:hAnsi="Verdana"/>
          <w:sz w:val="20"/>
          <w:szCs w:val="20"/>
        </w:rPr>
        <w:t>their computation method are shown in the following table.</w:t>
      </w:r>
    </w:p>
    <w:p w14:paraId="58122F6A" w14:textId="77777777" w:rsidR="00563B2C" w:rsidRPr="00042F16" w:rsidRDefault="00563B2C" w:rsidP="00563B2C">
      <w:pPr>
        <w:spacing w:after="0" w:line="240" w:lineRule="auto"/>
        <w:rPr>
          <w:rFonts w:ascii="Verdana" w:hAnsi="Verdana"/>
          <w:sz w:val="20"/>
          <w:szCs w:val="20"/>
        </w:rPr>
      </w:pPr>
    </w:p>
    <w:p w14:paraId="2EA15039" w14:textId="15E47B33" w:rsidR="009F5E59" w:rsidRPr="00563B2C" w:rsidRDefault="00851FCD" w:rsidP="00563B2C">
      <w:pPr>
        <w:pStyle w:val="Caption"/>
        <w:spacing w:after="0"/>
        <w:rPr>
          <w:rFonts w:ascii="Verdana" w:hAnsi="Verdana"/>
          <w:color w:val="auto"/>
          <w:sz w:val="20"/>
          <w:szCs w:val="20"/>
        </w:rPr>
      </w:pPr>
      <w:bookmarkStart w:id="40" w:name="_Toc22716630"/>
      <w:r w:rsidRPr="00563B2C">
        <w:rPr>
          <w:rFonts w:ascii="Verdana" w:hAnsi="Verdana"/>
          <w:color w:val="auto"/>
          <w:sz w:val="20"/>
          <w:szCs w:val="20"/>
        </w:rPr>
        <w:t xml:space="preserve">Table </w:t>
      </w:r>
      <w:r w:rsidRPr="00563B2C">
        <w:rPr>
          <w:rFonts w:ascii="Verdana" w:hAnsi="Verdana"/>
          <w:color w:val="auto"/>
          <w:sz w:val="20"/>
          <w:szCs w:val="20"/>
        </w:rPr>
        <w:fldChar w:fldCharType="begin"/>
      </w:r>
      <w:r w:rsidRPr="00563B2C">
        <w:rPr>
          <w:rFonts w:ascii="Verdana" w:hAnsi="Verdana"/>
          <w:color w:val="auto"/>
          <w:sz w:val="20"/>
          <w:szCs w:val="20"/>
        </w:rPr>
        <w:instrText xml:space="preserve"> SEQ Table \* ARABIC </w:instrText>
      </w:r>
      <w:r w:rsidRPr="00563B2C">
        <w:rPr>
          <w:rFonts w:ascii="Verdana" w:hAnsi="Verdana"/>
          <w:color w:val="auto"/>
          <w:sz w:val="20"/>
          <w:szCs w:val="20"/>
        </w:rPr>
        <w:fldChar w:fldCharType="separate"/>
      </w:r>
      <w:r w:rsidR="00E7065A" w:rsidRPr="00563B2C">
        <w:rPr>
          <w:rFonts w:ascii="Verdana" w:hAnsi="Verdana"/>
          <w:noProof/>
          <w:color w:val="auto"/>
          <w:sz w:val="20"/>
          <w:szCs w:val="20"/>
        </w:rPr>
        <w:t>6</w:t>
      </w:r>
      <w:r w:rsidRPr="00563B2C">
        <w:rPr>
          <w:rFonts w:ascii="Verdana" w:hAnsi="Verdana"/>
          <w:color w:val="auto"/>
          <w:sz w:val="20"/>
          <w:szCs w:val="20"/>
        </w:rPr>
        <w:fldChar w:fldCharType="end"/>
      </w:r>
      <w:r w:rsidRPr="00563B2C">
        <w:rPr>
          <w:rFonts w:ascii="Verdana" w:hAnsi="Verdana"/>
          <w:color w:val="auto"/>
          <w:sz w:val="20"/>
          <w:szCs w:val="20"/>
        </w:rPr>
        <w:t>:  Breakdown of Pillar I capital requirements</w:t>
      </w:r>
      <w:bookmarkEnd w:id="40"/>
    </w:p>
    <w:tbl>
      <w:tblPr>
        <w:tblW w:w="5000" w:type="pct"/>
        <w:tblLook w:val="04A0" w:firstRow="1" w:lastRow="0" w:firstColumn="1" w:lastColumn="0" w:noHBand="0" w:noVBand="1"/>
      </w:tblPr>
      <w:tblGrid>
        <w:gridCol w:w="1894"/>
        <w:gridCol w:w="501"/>
        <w:gridCol w:w="5092"/>
        <w:gridCol w:w="1973"/>
      </w:tblGrid>
      <w:tr w:rsidR="00883CEA" w:rsidRPr="00042F16" w14:paraId="47B76B80" w14:textId="1AAABF43" w:rsidTr="00563B2C">
        <w:trPr>
          <w:trHeight w:val="586"/>
        </w:trPr>
        <w:tc>
          <w:tcPr>
            <w:tcW w:w="3924" w:type="pct"/>
            <w:gridSpan w:val="3"/>
            <w:tcBorders>
              <w:top w:val="single" w:sz="4" w:space="0" w:color="auto"/>
              <w:left w:val="single" w:sz="4" w:space="0" w:color="auto"/>
              <w:bottom w:val="single" w:sz="4" w:space="0" w:color="auto"/>
              <w:right w:val="single" w:sz="4" w:space="0" w:color="auto"/>
            </w:tcBorders>
            <w:shd w:val="clear" w:color="auto" w:fill="6CACE4"/>
            <w:noWrap/>
            <w:vAlign w:val="center"/>
            <w:hideMark/>
          </w:tcPr>
          <w:p w14:paraId="1C91807E" w14:textId="77777777" w:rsidR="006C461B" w:rsidRPr="00042F16" w:rsidRDefault="006C461B" w:rsidP="00563B2C">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Overview of RWAs (in € thousands)</w:t>
            </w:r>
          </w:p>
        </w:tc>
        <w:tc>
          <w:tcPr>
            <w:tcW w:w="1076" w:type="pct"/>
            <w:tcBorders>
              <w:top w:val="single" w:sz="4" w:space="0" w:color="000000"/>
              <w:left w:val="single" w:sz="4" w:space="0" w:color="auto"/>
              <w:right w:val="single" w:sz="4" w:space="0" w:color="000000"/>
            </w:tcBorders>
            <w:shd w:val="clear" w:color="auto" w:fill="6CACE4"/>
          </w:tcPr>
          <w:p w14:paraId="2378259D" w14:textId="52554EE3" w:rsidR="006C461B" w:rsidRPr="00042F16" w:rsidRDefault="006C461B" w:rsidP="00563B2C">
            <w:pPr>
              <w:spacing w:after="0" w:line="240" w:lineRule="auto"/>
              <w:jc w:val="center"/>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RWAs</w:t>
            </w:r>
            <w:r w:rsidR="00B6671E" w:rsidRPr="00042F16">
              <w:rPr>
                <w:rFonts w:ascii="Verdana" w:hAnsi="Verdana"/>
                <w:b/>
                <w:color w:val="FFFFFF" w:themeColor="background1"/>
                <w:sz w:val="20"/>
                <w:szCs w:val="20"/>
                <w:lang w:eastAsia="en-GB"/>
              </w:rPr>
              <w:t xml:space="preserve"> </w:t>
            </w:r>
            <w:r w:rsidR="0060275C">
              <w:rPr>
                <w:rFonts w:ascii="Verdana" w:hAnsi="Verdana"/>
                <w:b/>
                <w:color w:val="FFFFFF" w:themeColor="background1"/>
                <w:sz w:val="20"/>
                <w:szCs w:val="20"/>
                <w:lang w:eastAsia="en-GB"/>
              </w:rPr>
              <w:t>Q4 2019</w:t>
            </w:r>
          </w:p>
        </w:tc>
      </w:tr>
      <w:tr w:rsidR="006C461B" w:rsidRPr="00042F16" w14:paraId="343FBE96" w14:textId="77777777" w:rsidTr="007E7755">
        <w:trPr>
          <w:trHeight w:val="270"/>
        </w:trPr>
        <w:tc>
          <w:tcPr>
            <w:tcW w:w="952" w:type="pct"/>
            <w:tcBorders>
              <w:top w:val="single" w:sz="4" w:space="0" w:color="auto"/>
              <w:left w:val="single" w:sz="4" w:space="0" w:color="auto"/>
              <w:bottom w:val="single" w:sz="4" w:space="0" w:color="auto"/>
              <w:right w:val="single" w:sz="4" w:space="0" w:color="auto"/>
            </w:tcBorders>
            <w:shd w:val="clear" w:color="000000" w:fill="FFFFFF"/>
            <w:noWrap/>
            <w:hideMark/>
          </w:tcPr>
          <w:p w14:paraId="1C0107DD" w14:textId="6CE8DE37" w:rsidR="006C461B" w:rsidRPr="00042F16" w:rsidRDefault="006C461B" w:rsidP="00563B2C">
            <w:pPr>
              <w:spacing w:after="0" w:line="240" w:lineRule="auto"/>
              <w:jc w:val="center"/>
              <w:rPr>
                <w:rFonts w:ascii="Verdana" w:hAnsi="Verdana"/>
                <w:sz w:val="20"/>
                <w:szCs w:val="20"/>
                <w:lang w:eastAsia="en-GB"/>
              </w:rPr>
            </w:pPr>
          </w:p>
        </w:tc>
        <w:tc>
          <w:tcPr>
            <w:tcW w:w="2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7781B"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1</w:t>
            </w:r>
          </w:p>
        </w:tc>
        <w:tc>
          <w:tcPr>
            <w:tcW w:w="2725" w:type="pct"/>
            <w:tcBorders>
              <w:top w:val="single" w:sz="4" w:space="0" w:color="auto"/>
              <w:left w:val="single" w:sz="4" w:space="0" w:color="auto"/>
              <w:bottom w:val="single" w:sz="4" w:space="0" w:color="auto"/>
              <w:right w:val="single" w:sz="4" w:space="0" w:color="auto"/>
            </w:tcBorders>
            <w:shd w:val="clear" w:color="000000" w:fill="FFFFFF"/>
            <w:noWrap/>
            <w:hideMark/>
          </w:tcPr>
          <w:p w14:paraId="43E7A74F" w14:textId="77777777" w:rsidR="006C461B" w:rsidRPr="00042F16" w:rsidRDefault="006C461B" w:rsidP="00563B2C">
            <w:pPr>
              <w:spacing w:after="0" w:line="240" w:lineRule="auto"/>
              <w:rPr>
                <w:rFonts w:ascii="Verdana" w:hAnsi="Verdana"/>
                <w:sz w:val="20"/>
                <w:szCs w:val="20"/>
                <w:lang w:eastAsia="en-GB"/>
              </w:rPr>
            </w:pPr>
            <w:r w:rsidRPr="00042F16">
              <w:rPr>
                <w:rFonts w:ascii="Verdana" w:hAnsi="Verdana"/>
                <w:sz w:val="20"/>
                <w:szCs w:val="20"/>
                <w:lang w:eastAsia="en-GB"/>
              </w:rPr>
              <w:t>Credit risk (excluding CCR)</w:t>
            </w:r>
          </w:p>
        </w:tc>
        <w:tc>
          <w:tcPr>
            <w:tcW w:w="1076" w:type="pct"/>
            <w:tcBorders>
              <w:top w:val="single" w:sz="4" w:space="0" w:color="000000"/>
              <w:left w:val="single" w:sz="4" w:space="0" w:color="auto"/>
              <w:bottom w:val="single" w:sz="4" w:space="0" w:color="000000"/>
              <w:right w:val="single" w:sz="4" w:space="0" w:color="000000"/>
            </w:tcBorders>
            <w:shd w:val="clear" w:color="000000" w:fill="FFFFFF"/>
          </w:tcPr>
          <w:p w14:paraId="1E6F32DE" w14:textId="4185DFEF" w:rsidR="006C461B" w:rsidRPr="00042F16" w:rsidRDefault="00776F4F" w:rsidP="00563B2C">
            <w:pPr>
              <w:spacing w:after="0" w:line="240" w:lineRule="auto"/>
              <w:jc w:val="right"/>
              <w:rPr>
                <w:rFonts w:ascii="Verdana" w:hAnsi="Verdana"/>
                <w:sz w:val="20"/>
                <w:szCs w:val="20"/>
                <w:lang w:eastAsia="en-GB"/>
              </w:rPr>
            </w:pPr>
            <w:r>
              <w:rPr>
                <w:rFonts w:ascii="Verdana" w:hAnsi="Verdana"/>
                <w:sz w:val="20"/>
                <w:szCs w:val="20"/>
                <w:lang w:eastAsia="en-GB"/>
              </w:rPr>
              <w:t>45</w:t>
            </w:r>
            <w:r w:rsidR="0060275C">
              <w:rPr>
                <w:rFonts w:ascii="Verdana" w:hAnsi="Verdana"/>
                <w:sz w:val="20"/>
                <w:szCs w:val="20"/>
                <w:lang w:eastAsia="en-GB"/>
              </w:rPr>
              <w:t>,389,</w:t>
            </w:r>
            <w:r>
              <w:rPr>
                <w:rFonts w:ascii="Verdana" w:hAnsi="Verdana"/>
                <w:sz w:val="20"/>
                <w:szCs w:val="20"/>
                <w:lang w:eastAsia="en-GB"/>
              </w:rPr>
              <w:t>217</w:t>
            </w:r>
          </w:p>
        </w:tc>
      </w:tr>
      <w:tr w:rsidR="006C461B" w:rsidRPr="00042F16" w14:paraId="6042C39F" w14:textId="77777777" w:rsidTr="007E7755">
        <w:trPr>
          <w:trHeight w:val="270"/>
        </w:trPr>
        <w:tc>
          <w:tcPr>
            <w:tcW w:w="952" w:type="pct"/>
            <w:tcBorders>
              <w:top w:val="single" w:sz="4" w:space="0" w:color="auto"/>
              <w:left w:val="single" w:sz="8" w:space="0" w:color="auto"/>
              <w:bottom w:val="single" w:sz="8" w:space="0" w:color="auto"/>
              <w:right w:val="single" w:sz="8" w:space="0" w:color="auto"/>
            </w:tcBorders>
            <w:shd w:val="clear" w:color="000000" w:fill="FFFFFF"/>
            <w:noWrap/>
            <w:hideMark/>
          </w:tcPr>
          <w:p w14:paraId="0C7F570A"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Article 438(c)(d)</w:t>
            </w:r>
          </w:p>
        </w:tc>
        <w:tc>
          <w:tcPr>
            <w:tcW w:w="247" w:type="pct"/>
            <w:tcBorders>
              <w:top w:val="single" w:sz="4" w:space="0" w:color="auto"/>
              <w:left w:val="nil"/>
              <w:bottom w:val="single" w:sz="8" w:space="0" w:color="auto"/>
              <w:right w:val="single" w:sz="8" w:space="0" w:color="auto"/>
            </w:tcBorders>
            <w:shd w:val="clear" w:color="000000" w:fill="FFFFFF"/>
            <w:noWrap/>
            <w:vAlign w:val="center"/>
            <w:hideMark/>
          </w:tcPr>
          <w:p w14:paraId="0C3AC63F"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2</w:t>
            </w:r>
          </w:p>
        </w:tc>
        <w:tc>
          <w:tcPr>
            <w:tcW w:w="2725" w:type="pct"/>
            <w:tcBorders>
              <w:top w:val="single" w:sz="4" w:space="0" w:color="auto"/>
              <w:left w:val="nil"/>
              <w:bottom w:val="single" w:sz="8" w:space="0" w:color="auto"/>
              <w:right w:val="single" w:sz="4" w:space="0" w:color="000000"/>
            </w:tcBorders>
            <w:shd w:val="clear" w:color="000000" w:fill="FFFFFF"/>
            <w:noWrap/>
            <w:hideMark/>
          </w:tcPr>
          <w:p w14:paraId="45D4076C" w14:textId="77777777" w:rsidR="006C461B" w:rsidRPr="00042F16" w:rsidRDefault="006C461B" w:rsidP="00563B2C">
            <w:pPr>
              <w:spacing w:after="0" w:line="240" w:lineRule="auto"/>
              <w:rPr>
                <w:rFonts w:ascii="Verdana" w:hAnsi="Verdana"/>
                <w:sz w:val="20"/>
                <w:szCs w:val="20"/>
                <w:lang w:eastAsia="en-GB"/>
              </w:rPr>
            </w:pPr>
            <w:r w:rsidRPr="00042F16">
              <w:rPr>
                <w:rFonts w:ascii="Verdana" w:hAnsi="Verdana"/>
                <w:sz w:val="20"/>
                <w:szCs w:val="20"/>
                <w:lang w:eastAsia="en-GB"/>
              </w:rPr>
              <w:t>Of which the standardised approach</w:t>
            </w:r>
          </w:p>
        </w:tc>
        <w:tc>
          <w:tcPr>
            <w:tcW w:w="1076" w:type="pct"/>
            <w:tcBorders>
              <w:top w:val="single" w:sz="4" w:space="0" w:color="000000"/>
              <w:left w:val="single" w:sz="4" w:space="0" w:color="000000"/>
              <w:bottom w:val="single" w:sz="4" w:space="0" w:color="000000"/>
              <w:right w:val="single" w:sz="4" w:space="0" w:color="000000"/>
            </w:tcBorders>
            <w:shd w:val="clear" w:color="000000" w:fill="FFFFFF"/>
          </w:tcPr>
          <w:p w14:paraId="190F1453" w14:textId="25B6ADDA" w:rsidR="006C461B" w:rsidRPr="00042F16" w:rsidRDefault="0060275C" w:rsidP="00563B2C">
            <w:pPr>
              <w:spacing w:after="0" w:line="240" w:lineRule="auto"/>
              <w:jc w:val="right"/>
              <w:rPr>
                <w:rFonts w:ascii="Verdana" w:hAnsi="Verdana"/>
                <w:sz w:val="20"/>
                <w:szCs w:val="20"/>
                <w:lang w:eastAsia="en-GB"/>
              </w:rPr>
            </w:pPr>
            <w:r>
              <w:rPr>
                <w:rFonts w:ascii="Verdana" w:hAnsi="Verdana"/>
                <w:sz w:val="20"/>
                <w:szCs w:val="20"/>
                <w:lang w:eastAsia="en-GB"/>
              </w:rPr>
              <w:t>45,389,217</w:t>
            </w:r>
          </w:p>
        </w:tc>
      </w:tr>
      <w:tr w:rsidR="006C461B" w:rsidRPr="00042F16" w14:paraId="27490792" w14:textId="77777777" w:rsidTr="007E7755">
        <w:trPr>
          <w:trHeight w:val="270"/>
        </w:trPr>
        <w:tc>
          <w:tcPr>
            <w:tcW w:w="952" w:type="pct"/>
            <w:tcBorders>
              <w:top w:val="nil"/>
              <w:left w:val="single" w:sz="8" w:space="0" w:color="auto"/>
              <w:bottom w:val="single" w:sz="8" w:space="0" w:color="auto"/>
              <w:right w:val="single" w:sz="8" w:space="0" w:color="auto"/>
            </w:tcBorders>
            <w:shd w:val="clear" w:color="000000" w:fill="FFFFFF"/>
            <w:noWrap/>
            <w:hideMark/>
          </w:tcPr>
          <w:p w14:paraId="5574B6B0" w14:textId="454BA468"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Article 438(e)</w:t>
            </w:r>
          </w:p>
        </w:tc>
        <w:tc>
          <w:tcPr>
            <w:tcW w:w="247" w:type="pct"/>
            <w:tcBorders>
              <w:top w:val="nil"/>
              <w:left w:val="nil"/>
              <w:bottom w:val="single" w:sz="8" w:space="0" w:color="auto"/>
              <w:right w:val="single" w:sz="8" w:space="0" w:color="auto"/>
            </w:tcBorders>
            <w:shd w:val="clear" w:color="000000" w:fill="FFFFFF"/>
            <w:noWrap/>
            <w:vAlign w:val="center"/>
            <w:hideMark/>
          </w:tcPr>
          <w:p w14:paraId="79916BDB"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19</w:t>
            </w:r>
          </w:p>
        </w:tc>
        <w:tc>
          <w:tcPr>
            <w:tcW w:w="2725" w:type="pct"/>
            <w:tcBorders>
              <w:top w:val="nil"/>
              <w:left w:val="nil"/>
              <w:bottom w:val="single" w:sz="8" w:space="0" w:color="auto"/>
              <w:right w:val="single" w:sz="4" w:space="0" w:color="000000"/>
            </w:tcBorders>
            <w:shd w:val="clear" w:color="000000" w:fill="FFFFFF"/>
            <w:noWrap/>
            <w:hideMark/>
          </w:tcPr>
          <w:p w14:paraId="5AE39C4E" w14:textId="77777777" w:rsidR="006C461B" w:rsidRPr="00042F16" w:rsidRDefault="006C461B" w:rsidP="00563B2C">
            <w:pPr>
              <w:spacing w:after="0" w:line="240" w:lineRule="auto"/>
              <w:rPr>
                <w:rFonts w:ascii="Verdana" w:hAnsi="Verdana"/>
                <w:sz w:val="20"/>
                <w:szCs w:val="20"/>
                <w:lang w:eastAsia="en-GB"/>
              </w:rPr>
            </w:pPr>
            <w:r w:rsidRPr="00042F16">
              <w:rPr>
                <w:rFonts w:ascii="Verdana" w:hAnsi="Verdana"/>
                <w:sz w:val="20"/>
                <w:szCs w:val="20"/>
                <w:lang w:eastAsia="en-GB"/>
              </w:rPr>
              <w:t>Market risk</w:t>
            </w:r>
          </w:p>
        </w:tc>
        <w:tc>
          <w:tcPr>
            <w:tcW w:w="1076" w:type="pct"/>
            <w:tcBorders>
              <w:top w:val="single" w:sz="4" w:space="0" w:color="000000"/>
              <w:left w:val="single" w:sz="4" w:space="0" w:color="000000"/>
              <w:bottom w:val="single" w:sz="4" w:space="0" w:color="000000"/>
              <w:right w:val="single" w:sz="4" w:space="0" w:color="000000"/>
            </w:tcBorders>
            <w:shd w:val="clear" w:color="000000" w:fill="FFFFFF"/>
          </w:tcPr>
          <w:p w14:paraId="2694AEFC" w14:textId="3B33433E" w:rsidR="006C461B" w:rsidRPr="00042F16" w:rsidRDefault="0060275C" w:rsidP="00563B2C">
            <w:pPr>
              <w:spacing w:after="0" w:line="240" w:lineRule="auto"/>
              <w:jc w:val="right"/>
              <w:rPr>
                <w:rFonts w:ascii="Verdana" w:hAnsi="Verdana"/>
                <w:sz w:val="20"/>
                <w:szCs w:val="20"/>
                <w:lang w:eastAsia="en-GB"/>
              </w:rPr>
            </w:pPr>
            <w:r>
              <w:rPr>
                <w:rFonts w:ascii="Verdana" w:hAnsi="Verdana"/>
                <w:sz w:val="20"/>
                <w:szCs w:val="20"/>
                <w:lang w:eastAsia="en-GB"/>
              </w:rPr>
              <w:t>4,435,030</w:t>
            </w:r>
          </w:p>
        </w:tc>
      </w:tr>
      <w:tr w:rsidR="006C461B" w:rsidRPr="00042F16" w14:paraId="2D2A62EF" w14:textId="77777777" w:rsidTr="007E7755">
        <w:trPr>
          <w:trHeight w:val="270"/>
        </w:trPr>
        <w:tc>
          <w:tcPr>
            <w:tcW w:w="952" w:type="pct"/>
            <w:tcBorders>
              <w:top w:val="nil"/>
              <w:left w:val="single" w:sz="8" w:space="0" w:color="auto"/>
              <w:bottom w:val="single" w:sz="8" w:space="0" w:color="auto"/>
              <w:right w:val="single" w:sz="8" w:space="0" w:color="auto"/>
            </w:tcBorders>
            <w:shd w:val="clear" w:color="000000" w:fill="FFFFFF"/>
            <w:noWrap/>
            <w:hideMark/>
          </w:tcPr>
          <w:p w14:paraId="37B422D0" w14:textId="01EF1396" w:rsidR="006C461B" w:rsidRPr="00042F16" w:rsidRDefault="006C461B" w:rsidP="00563B2C">
            <w:pPr>
              <w:spacing w:after="0" w:line="240" w:lineRule="auto"/>
              <w:jc w:val="center"/>
              <w:rPr>
                <w:rFonts w:ascii="Verdana" w:hAnsi="Verdana"/>
                <w:sz w:val="20"/>
                <w:szCs w:val="20"/>
                <w:lang w:eastAsia="en-GB"/>
              </w:rPr>
            </w:pPr>
          </w:p>
        </w:tc>
        <w:tc>
          <w:tcPr>
            <w:tcW w:w="247" w:type="pct"/>
            <w:tcBorders>
              <w:top w:val="nil"/>
              <w:left w:val="nil"/>
              <w:bottom w:val="single" w:sz="8" w:space="0" w:color="auto"/>
              <w:right w:val="single" w:sz="8" w:space="0" w:color="auto"/>
            </w:tcBorders>
            <w:shd w:val="clear" w:color="000000" w:fill="FFFFFF"/>
            <w:noWrap/>
            <w:vAlign w:val="center"/>
            <w:hideMark/>
          </w:tcPr>
          <w:p w14:paraId="14A856F0"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20</w:t>
            </w:r>
          </w:p>
        </w:tc>
        <w:tc>
          <w:tcPr>
            <w:tcW w:w="2725" w:type="pct"/>
            <w:tcBorders>
              <w:top w:val="nil"/>
              <w:left w:val="nil"/>
              <w:bottom w:val="single" w:sz="8" w:space="0" w:color="auto"/>
              <w:right w:val="single" w:sz="4" w:space="0" w:color="000000"/>
            </w:tcBorders>
            <w:shd w:val="clear" w:color="000000" w:fill="FFFFFF"/>
            <w:noWrap/>
            <w:hideMark/>
          </w:tcPr>
          <w:p w14:paraId="191BF2B5" w14:textId="77777777" w:rsidR="006C461B" w:rsidRPr="00042F16" w:rsidRDefault="006C461B" w:rsidP="00563B2C">
            <w:pPr>
              <w:spacing w:after="0" w:line="240" w:lineRule="auto"/>
              <w:rPr>
                <w:rFonts w:ascii="Verdana" w:hAnsi="Verdana"/>
                <w:sz w:val="20"/>
                <w:szCs w:val="20"/>
                <w:lang w:eastAsia="en-GB"/>
              </w:rPr>
            </w:pPr>
            <w:r w:rsidRPr="00042F16">
              <w:rPr>
                <w:rFonts w:ascii="Verdana" w:hAnsi="Verdana"/>
                <w:sz w:val="20"/>
                <w:szCs w:val="20"/>
                <w:lang w:eastAsia="en-GB"/>
              </w:rPr>
              <w:t>Of which standardised approach</w:t>
            </w:r>
          </w:p>
        </w:tc>
        <w:tc>
          <w:tcPr>
            <w:tcW w:w="1076" w:type="pct"/>
            <w:tcBorders>
              <w:top w:val="single" w:sz="4" w:space="0" w:color="000000"/>
              <w:left w:val="single" w:sz="4" w:space="0" w:color="000000"/>
              <w:bottom w:val="single" w:sz="4" w:space="0" w:color="000000"/>
              <w:right w:val="single" w:sz="4" w:space="0" w:color="000000"/>
            </w:tcBorders>
            <w:shd w:val="clear" w:color="000000" w:fill="FFFFFF"/>
          </w:tcPr>
          <w:p w14:paraId="60CB90F6" w14:textId="3229B146" w:rsidR="006C461B" w:rsidRPr="00042F16" w:rsidRDefault="0060275C" w:rsidP="00563B2C">
            <w:pPr>
              <w:spacing w:after="0" w:line="240" w:lineRule="auto"/>
              <w:jc w:val="right"/>
              <w:rPr>
                <w:rFonts w:ascii="Verdana" w:hAnsi="Verdana"/>
                <w:sz w:val="20"/>
                <w:szCs w:val="20"/>
                <w:lang w:eastAsia="en-GB"/>
              </w:rPr>
            </w:pPr>
            <w:r>
              <w:rPr>
                <w:rFonts w:ascii="Verdana" w:hAnsi="Verdana"/>
                <w:sz w:val="20"/>
                <w:szCs w:val="20"/>
                <w:lang w:eastAsia="en-GB"/>
              </w:rPr>
              <w:t>4,435,030</w:t>
            </w:r>
          </w:p>
        </w:tc>
      </w:tr>
      <w:tr w:rsidR="006C461B" w:rsidRPr="00042F16" w14:paraId="4D40B097" w14:textId="77777777" w:rsidTr="007E7755">
        <w:trPr>
          <w:trHeight w:val="270"/>
        </w:trPr>
        <w:tc>
          <w:tcPr>
            <w:tcW w:w="952" w:type="pct"/>
            <w:tcBorders>
              <w:top w:val="nil"/>
              <w:left w:val="single" w:sz="8" w:space="0" w:color="auto"/>
              <w:bottom w:val="single" w:sz="8" w:space="0" w:color="auto"/>
              <w:right w:val="single" w:sz="8" w:space="0" w:color="auto"/>
            </w:tcBorders>
            <w:shd w:val="clear" w:color="000000" w:fill="FFFFFF"/>
            <w:noWrap/>
            <w:hideMark/>
          </w:tcPr>
          <w:p w14:paraId="29DF512A"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Article 438(f)</w:t>
            </w:r>
          </w:p>
        </w:tc>
        <w:tc>
          <w:tcPr>
            <w:tcW w:w="247" w:type="pct"/>
            <w:tcBorders>
              <w:top w:val="nil"/>
              <w:left w:val="nil"/>
              <w:bottom w:val="single" w:sz="8" w:space="0" w:color="auto"/>
              <w:right w:val="single" w:sz="8" w:space="0" w:color="auto"/>
            </w:tcBorders>
            <w:shd w:val="clear" w:color="000000" w:fill="FFFFFF"/>
            <w:noWrap/>
            <w:vAlign w:val="center"/>
            <w:hideMark/>
          </w:tcPr>
          <w:p w14:paraId="77398CD9"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23</w:t>
            </w:r>
          </w:p>
        </w:tc>
        <w:tc>
          <w:tcPr>
            <w:tcW w:w="2725" w:type="pct"/>
            <w:tcBorders>
              <w:top w:val="nil"/>
              <w:left w:val="nil"/>
              <w:bottom w:val="single" w:sz="8" w:space="0" w:color="auto"/>
              <w:right w:val="single" w:sz="4" w:space="0" w:color="000000"/>
            </w:tcBorders>
            <w:shd w:val="clear" w:color="000000" w:fill="FFFFFF"/>
            <w:noWrap/>
            <w:hideMark/>
          </w:tcPr>
          <w:p w14:paraId="75DD63CE" w14:textId="77777777" w:rsidR="006C461B" w:rsidRPr="00042F16" w:rsidRDefault="006C461B" w:rsidP="00563B2C">
            <w:pPr>
              <w:spacing w:after="0" w:line="240" w:lineRule="auto"/>
              <w:rPr>
                <w:rFonts w:ascii="Verdana" w:hAnsi="Verdana"/>
                <w:sz w:val="20"/>
                <w:szCs w:val="20"/>
                <w:lang w:eastAsia="en-GB"/>
              </w:rPr>
            </w:pPr>
            <w:r w:rsidRPr="00042F16">
              <w:rPr>
                <w:rFonts w:ascii="Verdana" w:hAnsi="Verdana"/>
                <w:sz w:val="20"/>
                <w:szCs w:val="20"/>
                <w:lang w:eastAsia="en-GB"/>
              </w:rPr>
              <w:t>Operational risk</w:t>
            </w:r>
          </w:p>
        </w:tc>
        <w:tc>
          <w:tcPr>
            <w:tcW w:w="1076" w:type="pct"/>
            <w:tcBorders>
              <w:top w:val="single" w:sz="4" w:space="0" w:color="000000"/>
              <w:left w:val="single" w:sz="4" w:space="0" w:color="000000"/>
              <w:bottom w:val="single" w:sz="4" w:space="0" w:color="000000"/>
              <w:right w:val="single" w:sz="4" w:space="0" w:color="000000"/>
            </w:tcBorders>
            <w:shd w:val="clear" w:color="000000" w:fill="FFFFFF"/>
          </w:tcPr>
          <w:p w14:paraId="33F88951" w14:textId="2E9F7B2E" w:rsidR="006C461B" w:rsidRPr="00042F16" w:rsidRDefault="0060275C" w:rsidP="00563B2C">
            <w:pPr>
              <w:spacing w:after="0" w:line="240" w:lineRule="auto"/>
              <w:jc w:val="right"/>
              <w:rPr>
                <w:rFonts w:ascii="Verdana" w:hAnsi="Verdana"/>
                <w:sz w:val="20"/>
                <w:szCs w:val="20"/>
                <w:lang w:eastAsia="en-GB"/>
              </w:rPr>
            </w:pPr>
            <w:r>
              <w:rPr>
                <w:rFonts w:ascii="Verdana" w:hAnsi="Verdana"/>
                <w:sz w:val="20"/>
                <w:szCs w:val="20"/>
                <w:lang w:eastAsia="en-GB"/>
              </w:rPr>
              <w:t>87,357,57</w:t>
            </w:r>
            <w:r w:rsidR="006C461B" w:rsidRPr="00042F16">
              <w:rPr>
                <w:rFonts w:ascii="Verdana" w:hAnsi="Verdana"/>
                <w:sz w:val="20"/>
                <w:szCs w:val="20"/>
                <w:lang w:eastAsia="en-GB"/>
              </w:rPr>
              <w:t>0</w:t>
            </w:r>
          </w:p>
        </w:tc>
      </w:tr>
      <w:tr w:rsidR="006C461B" w:rsidRPr="00042F16" w14:paraId="3D21D239" w14:textId="77777777" w:rsidTr="007E7755">
        <w:trPr>
          <w:trHeight w:val="270"/>
        </w:trPr>
        <w:tc>
          <w:tcPr>
            <w:tcW w:w="952" w:type="pct"/>
            <w:tcBorders>
              <w:top w:val="nil"/>
              <w:left w:val="single" w:sz="8" w:space="0" w:color="auto"/>
              <w:bottom w:val="single" w:sz="8" w:space="0" w:color="auto"/>
              <w:right w:val="single" w:sz="8" w:space="0" w:color="auto"/>
            </w:tcBorders>
            <w:shd w:val="clear" w:color="000000" w:fill="FFFFFF"/>
            <w:noWrap/>
            <w:hideMark/>
          </w:tcPr>
          <w:p w14:paraId="45C36227" w14:textId="493857E6" w:rsidR="006C461B" w:rsidRPr="00042F16" w:rsidRDefault="006C461B" w:rsidP="00563B2C">
            <w:pPr>
              <w:spacing w:after="0" w:line="240" w:lineRule="auto"/>
              <w:jc w:val="center"/>
              <w:rPr>
                <w:rFonts w:ascii="Verdana" w:hAnsi="Verdana"/>
                <w:sz w:val="20"/>
                <w:szCs w:val="20"/>
                <w:lang w:eastAsia="en-GB"/>
              </w:rPr>
            </w:pPr>
          </w:p>
        </w:tc>
        <w:tc>
          <w:tcPr>
            <w:tcW w:w="247" w:type="pct"/>
            <w:tcBorders>
              <w:top w:val="nil"/>
              <w:left w:val="nil"/>
              <w:bottom w:val="single" w:sz="8" w:space="0" w:color="auto"/>
              <w:right w:val="single" w:sz="8" w:space="0" w:color="auto"/>
            </w:tcBorders>
            <w:shd w:val="clear" w:color="000000" w:fill="FFFFFF"/>
            <w:noWrap/>
            <w:vAlign w:val="center"/>
            <w:hideMark/>
          </w:tcPr>
          <w:p w14:paraId="73994F14" w14:textId="77777777" w:rsidR="006C461B" w:rsidRPr="00042F16" w:rsidRDefault="006C461B"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24</w:t>
            </w:r>
          </w:p>
        </w:tc>
        <w:tc>
          <w:tcPr>
            <w:tcW w:w="2725" w:type="pct"/>
            <w:tcBorders>
              <w:top w:val="nil"/>
              <w:left w:val="nil"/>
              <w:bottom w:val="single" w:sz="8" w:space="0" w:color="auto"/>
              <w:right w:val="single" w:sz="4" w:space="0" w:color="000000"/>
            </w:tcBorders>
            <w:shd w:val="clear" w:color="000000" w:fill="FFFFFF"/>
            <w:noWrap/>
            <w:hideMark/>
          </w:tcPr>
          <w:p w14:paraId="5B7B9518" w14:textId="77777777" w:rsidR="006C461B" w:rsidRPr="00042F16" w:rsidRDefault="006C461B" w:rsidP="00563B2C">
            <w:pPr>
              <w:spacing w:after="0" w:line="240" w:lineRule="auto"/>
              <w:rPr>
                <w:rFonts w:ascii="Verdana" w:hAnsi="Verdana"/>
                <w:sz w:val="20"/>
                <w:szCs w:val="20"/>
                <w:lang w:eastAsia="en-GB"/>
              </w:rPr>
            </w:pPr>
            <w:r w:rsidRPr="00042F16">
              <w:rPr>
                <w:rFonts w:ascii="Verdana" w:hAnsi="Verdana"/>
                <w:sz w:val="20"/>
                <w:szCs w:val="20"/>
                <w:lang w:eastAsia="en-GB"/>
              </w:rPr>
              <w:t>Of which basic indicator approach</w:t>
            </w:r>
          </w:p>
        </w:tc>
        <w:tc>
          <w:tcPr>
            <w:tcW w:w="1076" w:type="pct"/>
            <w:tcBorders>
              <w:top w:val="single" w:sz="4" w:space="0" w:color="000000"/>
              <w:left w:val="single" w:sz="4" w:space="0" w:color="000000"/>
              <w:bottom w:val="single" w:sz="4" w:space="0" w:color="000000"/>
              <w:right w:val="single" w:sz="4" w:space="0" w:color="000000"/>
            </w:tcBorders>
            <w:shd w:val="clear" w:color="000000" w:fill="FFFFFF"/>
          </w:tcPr>
          <w:p w14:paraId="2B467946" w14:textId="5CAF891D" w:rsidR="006C461B" w:rsidRPr="00042F16" w:rsidRDefault="0060275C" w:rsidP="00563B2C">
            <w:pPr>
              <w:spacing w:after="0" w:line="240" w:lineRule="auto"/>
              <w:jc w:val="right"/>
              <w:rPr>
                <w:rFonts w:ascii="Verdana" w:hAnsi="Verdana"/>
                <w:sz w:val="20"/>
                <w:szCs w:val="20"/>
                <w:lang w:eastAsia="en-GB"/>
              </w:rPr>
            </w:pPr>
            <w:r>
              <w:rPr>
                <w:rFonts w:ascii="Verdana" w:hAnsi="Verdana"/>
                <w:sz w:val="20"/>
                <w:szCs w:val="20"/>
                <w:lang w:eastAsia="en-GB"/>
              </w:rPr>
              <w:t>87,357,57</w:t>
            </w:r>
            <w:r w:rsidR="006C461B" w:rsidRPr="00042F16">
              <w:rPr>
                <w:rFonts w:ascii="Verdana" w:hAnsi="Verdana"/>
                <w:sz w:val="20"/>
                <w:szCs w:val="20"/>
                <w:lang w:eastAsia="en-GB"/>
              </w:rPr>
              <w:t>0</w:t>
            </w:r>
          </w:p>
        </w:tc>
      </w:tr>
      <w:tr w:rsidR="006C461B" w:rsidRPr="00042F16" w14:paraId="710ECB32" w14:textId="77777777" w:rsidTr="00650143">
        <w:trPr>
          <w:trHeight w:val="270"/>
        </w:trPr>
        <w:tc>
          <w:tcPr>
            <w:tcW w:w="952" w:type="pct"/>
            <w:tcBorders>
              <w:top w:val="nil"/>
              <w:left w:val="single" w:sz="8" w:space="0" w:color="auto"/>
              <w:bottom w:val="single" w:sz="8" w:space="0" w:color="auto"/>
              <w:right w:val="single" w:sz="8" w:space="0" w:color="auto"/>
            </w:tcBorders>
            <w:shd w:val="clear" w:color="auto" w:fill="auto"/>
            <w:noWrap/>
            <w:hideMark/>
          </w:tcPr>
          <w:p w14:paraId="61F27406" w14:textId="017EA1ED" w:rsidR="006C461B" w:rsidRPr="00042F16" w:rsidRDefault="006C461B" w:rsidP="00563B2C">
            <w:pPr>
              <w:spacing w:after="0" w:line="240" w:lineRule="auto"/>
              <w:jc w:val="center"/>
              <w:rPr>
                <w:rFonts w:ascii="Verdana" w:hAnsi="Verdana"/>
                <w:b/>
                <w:sz w:val="20"/>
                <w:szCs w:val="20"/>
                <w:lang w:eastAsia="en-GB"/>
              </w:rPr>
            </w:pPr>
          </w:p>
        </w:tc>
        <w:tc>
          <w:tcPr>
            <w:tcW w:w="247" w:type="pct"/>
            <w:tcBorders>
              <w:top w:val="nil"/>
              <w:left w:val="nil"/>
              <w:bottom w:val="single" w:sz="8" w:space="0" w:color="auto"/>
              <w:right w:val="single" w:sz="8" w:space="0" w:color="auto"/>
            </w:tcBorders>
            <w:shd w:val="clear" w:color="auto" w:fill="auto"/>
            <w:noWrap/>
            <w:vAlign w:val="center"/>
            <w:hideMark/>
          </w:tcPr>
          <w:p w14:paraId="2D5A060A" w14:textId="77777777" w:rsidR="006C461B" w:rsidRPr="00042F16" w:rsidRDefault="006C461B" w:rsidP="00563B2C">
            <w:pPr>
              <w:spacing w:after="0" w:line="240" w:lineRule="auto"/>
              <w:jc w:val="center"/>
              <w:rPr>
                <w:rFonts w:ascii="Verdana" w:hAnsi="Verdana"/>
                <w:b/>
                <w:sz w:val="20"/>
                <w:szCs w:val="20"/>
                <w:lang w:eastAsia="en-GB"/>
              </w:rPr>
            </w:pPr>
            <w:r w:rsidRPr="00042F16">
              <w:rPr>
                <w:rFonts w:ascii="Verdana" w:hAnsi="Verdana"/>
                <w:b/>
                <w:sz w:val="20"/>
                <w:szCs w:val="20"/>
                <w:lang w:eastAsia="en-GB"/>
              </w:rPr>
              <w:t>29</w:t>
            </w:r>
          </w:p>
        </w:tc>
        <w:tc>
          <w:tcPr>
            <w:tcW w:w="2725" w:type="pct"/>
            <w:tcBorders>
              <w:top w:val="nil"/>
              <w:left w:val="nil"/>
              <w:bottom w:val="single" w:sz="8" w:space="0" w:color="auto"/>
              <w:right w:val="single" w:sz="4" w:space="0" w:color="000000"/>
            </w:tcBorders>
            <w:shd w:val="clear" w:color="auto" w:fill="auto"/>
            <w:noWrap/>
            <w:hideMark/>
          </w:tcPr>
          <w:p w14:paraId="71A66AC6" w14:textId="77777777" w:rsidR="006C461B" w:rsidRPr="00042F16" w:rsidRDefault="006C461B" w:rsidP="00563B2C">
            <w:pPr>
              <w:spacing w:after="0" w:line="240" w:lineRule="auto"/>
              <w:rPr>
                <w:rFonts w:ascii="Verdana" w:hAnsi="Verdana"/>
                <w:b/>
                <w:sz w:val="20"/>
                <w:szCs w:val="20"/>
                <w:lang w:eastAsia="en-GB"/>
              </w:rPr>
            </w:pPr>
            <w:r w:rsidRPr="00042F16">
              <w:rPr>
                <w:rFonts w:ascii="Verdana" w:hAnsi="Verdana"/>
                <w:b/>
                <w:sz w:val="20"/>
                <w:szCs w:val="20"/>
                <w:lang w:eastAsia="en-GB"/>
              </w:rPr>
              <w:t>Total</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14:paraId="048352CC" w14:textId="39C738AC" w:rsidR="006C461B" w:rsidRPr="00042F16" w:rsidRDefault="0060275C" w:rsidP="00563B2C">
            <w:pPr>
              <w:spacing w:after="0" w:line="240" w:lineRule="auto"/>
              <w:jc w:val="right"/>
              <w:rPr>
                <w:rFonts w:ascii="Verdana" w:hAnsi="Verdana"/>
                <w:b/>
                <w:sz w:val="20"/>
                <w:szCs w:val="20"/>
                <w:lang w:eastAsia="en-GB"/>
              </w:rPr>
            </w:pPr>
            <w:r>
              <w:rPr>
                <w:rFonts w:ascii="Verdana" w:hAnsi="Verdana"/>
                <w:b/>
                <w:sz w:val="20"/>
                <w:szCs w:val="20"/>
                <w:lang w:eastAsia="en-GB"/>
              </w:rPr>
              <w:t>137,181,81</w:t>
            </w:r>
            <w:r w:rsidR="006C461B" w:rsidRPr="00042F16">
              <w:rPr>
                <w:rFonts w:ascii="Verdana" w:hAnsi="Verdana"/>
                <w:b/>
                <w:sz w:val="20"/>
                <w:szCs w:val="20"/>
                <w:lang w:eastAsia="en-GB"/>
              </w:rPr>
              <w:t>7</w:t>
            </w:r>
          </w:p>
        </w:tc>
      </w:tr>
    </w:tbl>
    <w:p w14:paraId="04497B00" w14:textId="77777777" w:rsidR="00776F4F" w:rsidRDefault="00776F4F" w:rsidP="00776F4F">
      <w:pPr>
        <w:pStyle w:val="Heading2"/>
        <w:numPr>
          <w:ilvl w:val="0"/>
          <w:numId w:val="0"/>
        </w:numPr>
        <w:spacing w:before="0" w:line="240" w:lineRule="auto"/>
        <w:ind w:left="567"/>
        <w:rPr>
          <w:rFonts w:ascii="Verdana" w:hAnsi="Verdana"/>
          <w:b/>
          <w:color w:val="6CACE4"/>
          <w:sz w:val="22"/>
          <w:szCs w:val="22"/>
        </w:rPr>
      </w:pPr>
      <w:bookmarkStart w:id="41" w:name="_Toc20822937"/>
      <w:bookmarkStart w:id="42" w:name="_Toc21277389"/>
      <w:bookmarkStart w:id="43" w:name="_Toc21599535"/>
      <w:bookmarkStart w:id="44" w:name="_Toc21617383"/>
      <w:bookmarkStart w:id="45" w:name="_Toc22716587"/>
      <w:bookmarkEnd w:id="41"/>
      <w:bookmarkEnd w:id="42"/>
      <w:bookmarkEnd w:id="43"/>
      <w:bookmarkEnd w:id="44"/>
    </w:p>
    <w:p w14:paraId="12007210" w14:textId="77777777" w:rsidR="00776F4F" w:rsidRDefault="00776F4F" w:rsidP="00776F4F"/>
    <w:p w14:paraId="36249918" w14:textId="77777777" w:rsidR="00776F4F" w:rsidRPr="00776F4F" w:rsidRDefault="00776F4F" w:rsidP="00776F4F"/>
    <w:p w14:paraId="5E624D77" w14:textId="495A01ED" w:rsidR="00FD4AE2" w:rsidRPr="00563B2C" w:rsidRDefault="004750E9" w:rsidP="00563B2C">
      <w:pPr>
        <w:pStyle w:val="Heading2"/>
        <w:spacing w:before="0" w:line="240" w:lineRule="auto"/>
        <w:ind w:left="567" w:hanging="567"/>
        <w:rPr>
          <w:rFonts w:ascii="Verdana" w:hAnsi="Verdana"/>
          <w:b/>
          <w:color w:val="6CACE4"/>
          <w:sz w:val="22"/>
          <w:szCs w:val="22"/>
        </w:rPr>
      </w:pPr>
      <w:r w:rsidRPr="00563B2C">
        <w:rPr>
          <w:rFonts w:ascii="Verdana" w:hAnsi="Verdana"/>
          <w:b/>
          <w:color w:val="6CACE4"/>
          <w:sz w:val="22"/>
          <w:szCs w:val="22"/>
        </w:rPr>
        <w:lastRenderedPageBreak/>
        <w:t>Pillar II capital requirements</w:t>
      </w:r>
      <w:bookmarkEnd w:id="45"/>
    </w:p>
    <w:p w14:paraId="516BBE6B" w14:textId="77777777" w:rsidR="00563B2C" w:rsidRPr="00563B2C" w:rsidRDefault="00563B2C" w:rsidP="00563B2C">
      <w:pPr>
        <w:spacing w:after="0" w:line="240" w:lineRule="auto"/>
        <w:ind w:left="567" w:hanging="567"/>
        <w:rPr>
          <w:b/>
          <w:color w:val="6CACE4"/>
        </w:rPr>
      </w:pPr>
    </w:p>
    <w:p w14:paraId="2FC5F228" w14:textId="656EB2D4" w:rsidR="00F83534" w:rsidRPr="00563B2C" w:rsidRDefault="00563B2C" w:rsidP="00563B2C">
      <w:pPr>
        <w:pStyle w:val="Heading3"/>
        <w:spacing w:before="0" w:line="240" w:lineRule="auto"/>
        <w:ind w:left="567" w:hanging="567"/>
        <w:rPr>
          <w:rFonts w:ascii="Verdana" w:hAnsi="Verdana"/>
          <w:b/>
          <w:color w:val="6CACE4"/>
          <w:sz w:val="22"/>
          <w:szCs w:val="22"/>
        </w:rPr>
      </w:pPr>
      <w:bookmarkStart w:id="46" w:name="_Toc22716588"/>
      <w:r>
        <w:rPr>
          <w:rFonts w:ascii="Verdana" w:hAnsi="Verdana"/>
          <w:b/>
          <w:color w:val="6CACE4"/>
          <w:sz w:val="22"/>
          <w:szCs w:val="22"/>
        </w:rPr>
        <w:t xml:space="preserve"> </w:t>
      </w:r>
      <w:r w:rsidR="004750E9" w:rsidRPr="00563B2C">
        <w:rPr>
          <w:rFonts w:ascii="Verdana" w:hAnsi="Verdana"/>
          <w:b/>
          <w:color w:val="6CACE4"/>
          <w:sz w:val="22"/>
          <w:szCs w:val="22"/>
        </w:rPr>
        <w:t>ICAAP Framework</w:t>
      </w:r>
      <w:bookmarkEnd w:id="46"/>
    </w:p>
    <w:p w14:paraId="6102FDCA" w14:textId="77777777" w:rsidR="00563B2C" w:rsidRPr="00563B2C" w:rsidRDefault="00563B2C" w:rsidP="00563B2C">
      <w:pPr>
        <w:spacing w:after="0" w:line="240" w:lineRule="auto"/>
      </w:pPr>
    </w:p>
    <w:p w14:paraId="10BB968D" w14:textId="0B0907A7" w:rsidR="004750E9" w:rsidRPr="00042F16" w:rsidRDefault="008D6663" w:rsidP="00563B2C">
      <w:pPr>
        <w:spacing w:after="0" w:line="240" w:lineRule="auto"/>
        <w:rPr>
          <w:rFonts w:ascii="Verdana" w:hAnsi="Verdana"/>
          <w:sz w:val="20"/>
          <w:szCs w:val="20"/>
        </w:rPr>
      </w:pPr>
      <w:r w:rsidRPr="00042F16">
        <w:rPr>
          <w:rFonts w:ascii="Verdana" w:hAnsi="Verdana"/>
          <w:sz w:val="20"/>
          <w:szCs w:val="20"/>
        </w:rPr>
        <w:t>T</w:t>
      </w:r>
      <w:r w:rsidR="004750E9" w:rsidRPr="00042F16">
        <w:rPr>
          <w:rFonts w:ascii="Verdana" w:hAnsi="Verdana"/>
          <w:sz w:val="20"/>
          <w:szCs w:val="20"/>
        </w:rPr>
        <w:t>he ICAAP</w:t>
      </w:r>
      <w:r w:rsidRPr="00042F16">
        <w:rPr>
          <w:rFonts w:ascii="Verdana" w:hAnsi="Verdana"/>
          <w:sz w:val="20"/>
          <w:szCs w:val="20"/>
        </w:rPr>
        <w:t xml:space="preserve"> is defined by the directive 2013/36/EU</w:t>
      </w:r>
      <w:r w:rsidR="004750E9" w:rsidRPr="00042F16">
        <w:rPr>
          <w:rFonts w:ascii="Verdana" w:hAnsi="Verdana"/>
          <w:sz w:val="20"/>
          <w:szCs w:val="20"/>
        </w:rPr>
        <w:t xml:space="preserve"> as a set of “[…] sound, effective and comprehensive strategies and processes to assess and maintain on an ongoing basis the amounts, types and distribution of internal capital that they consider adequate to cover the nature and level of the risks to which they are or might be exposed”.</w:t>
      </w:r>
    </w:p>
    <w:p w14:paraId="62CF6B2C" w14:textId="77777777" w:rsidR="00563B2C" w:rsidRDefault="00563B2C" w:rsidP="00563B2C">
      <w:pPr>
        <w:spacing w:after="0" w:line="240" w:lineRule="auto"/>
        <w:rPr>
          <w:rFonts w:ascii="Verdana" w:hAnsi="Verdana"/>
          <w:sz w:val="20"/>
          <w:szCs w:val="20"/>
        </w:rPr>
      </w:pPr>
    </w:p>
    <w:p w14:paraId="74774A50" w14:textId="5EE90280" w:rsidR="001D4134" w:rsidRPr="00042F16" w:rsidRDefault="001D4134" w:rsidP="00563B2C">
      <w:pPr>
        <w:spacing w:after="0" w:line="240" w:lineRule="auto"/>
        <w:rPr>
          <w:rFonts w:ascii="Verdana" w:hAnsi="Verdana"/>
          <w:sz w:val="20"/>
          <w:szCs w:val="20"/>
        </w:rPr>
      </w:pPr>
      <w:r w:rsidRPr="00042F16">
        <w:rPr>
          <w:rFonts w:ascii="Verdana" w:hAnsi="Verdana"/>
          <w:sz w:val="20"/>
          <w:szCs w:val="20"/>
        </w:rPr>
        <w:t>The Company’s ICAAP is based on the Circular CSSF 07/301 as amended by Circulars CSSF 08/338, CSSF 09/403, CSSF 11/506 and CSSF 13/568 on the implementation of the Internal Capital Adequacy Assessment Process (ICAAP).</w:t>
      </w:r>
    </w:p>
    <w:p w14:paraId="4A4F5000" w14:textId="77777777" w:rsidR="00563B2C" w:rsidRDefault="00563B2C" w:rsidP="00563B2C">
      <w:pPr>
        <w:spacing w:after="0" w:line="240" w:lineRule="auto"/>
        <w:rPr>
          <w:rFonts w:ascii="Verdana" w:hAnsi="Verdana"/>
          <w:sz w:val="20"/>
          <w:szCs w:val="20"/>
        </w:rPr>
      </w:pPr>
    </w:p>
    <w:p w14:paraId="55915926" w14:textId="100BCE7D" w:rsidR="007B4136" w:rsidRPr="00042F16" w:rsidRDefault="004750E9" w:rsidP="00563B2C">
      <w:pPr>
        <w:spacing w:after="0" w:line="240" w:lineRule="auto"/>
        <w:rPr>
          <w:rFonts w:ascii="Verdana" w:hAnsi="Verdana"/>
          <w:sz w:val="20"/>
          <w:szCs w:val="20"/>
        </w:rPr>
      </w:pPr>
      <w:r w:rsidRPr="00042F16">
        <w:rPr>
          <w:rFonts w:ascii="Verdana" w:hAnsi="Verdana"/>
          <w:sz w:val="20"/>
          <w:szCs w:val="20"/>
        </w:rPr>
        <w:t>The ICAAP report identifies and quantifies all the</w:t>
      </w:r>
      <w:r w:rsidR="008D6663" w:rsidRPr="00042F16">
        <w:rPr>
          <w:rFonts w:ascii="Verdana" w:hAnsi="Verdana"/>
          <w:sz w:val="20"/>
          <w:szCs w:val="20"/>
        </w:rPr>
        <w:t xml:space="preserve"> risks to which </w:t>
      </w:r>
      <w:r w:rsidR="00DF0FC6" w:rsidRPr="00042F16">
        <w:rPr>
          <w:rFonts w:ascii="Verdana" w:hAnsi="Verdana"/>
          <w:sz w:val="20"/>
          <w:szCs w:val="20"/>
        </w:rPr>
        <w:t>t</w:t>
      </w:r>
      <w:r w:rsidR="002F2ED1" w:rsidRPr="00042F16">
        <w:rPr>
          <w:rFonts w:ascii="Verdana" w:hAnsi="Verdana"/>
          <w:sz w:val="20"/>
          <w:szCs w:val="20"/>
        </w:rPr>
        <w:t>he Company</w:t>
      </w:r>
      <w:r w:rsidRPr="00042F16">
        <w:rPr>
          <w:rFonts w:ascii="Verdana" w:hAnsi="Verdana"/>
          <w:sz w:val="20"/>
          <w:szCs w:val="20"/>
        </w:rPr>
        <w:t xml:space="preserve"> is or could be exposed, acc</w:t>
      </w:r>
      <w:r w:rsidR="00F30D5A" w:rsidRPr="00042F16">
        <w:rPr>
          <w:rFonts w:ascii="Verdana" w:hAnsi="Verdana"/>
          <w:sz w:val="20"/>
          <w:szCs w:val="20"/>
        </w:rPr>
        <w:t>ording to its business model, its</w:t>
      </w:r>
      <w:r w:rsidR="007B4136" w:rsidRPr="00042F16">
        <w:rPr>
          <w:rFonts w:ascii="Verdana" w:hAnsi="Verdana"/>
          <w:sz w:val="20"/>
          <w:szCs w:val="20"/>
        </w:rPr>
        <w:t xml:space="preserve"> strategy and</w:t>
      </w:r>
      <w:r w:rsidRPr="00042F16">
        <w:rPr>
          <w:rFonts w:ascii="Verdana" w:hAnsi="Verdana"/>
          <w:sz w:val="20"/>
          <w:szCs w:val="20"/>
        </w:rPr>
        <w:t xml:space="preserve"> the economic and regulatory </w:t>
      </w:r>
      <w:r w:rsidR="00F01111" w:rsidRPr="00042F16">
        <w:rPr>
          <w:rFonts w:ascii="Verdana" w:hAnsi="Verdana"/>
          <w:sz w:val="20"/>
          <w:szCs w:val="20"/>
        </w:rPr>
        <w:t>environment under which the Company</w:t>
      </w:r>
      <w:r w:rsidRPr="00042F16">
        <w:rPr>
          <w:rFonts w:ascii="Verdana" w:hAnsi="Verdana"/>
          <w:sz w:val="20"/>
          <w:szCs w:val="20"/>
        </w:rPr>
        <w:t xml:space="preserve"> operates</w:t>
      </w:r>
      <w:r w:rsidR="007B4136" w:rsidRPr="00042F16">
        <w:rPr>
          <w:rFonts w:ascii="Verdana" w:hAnsi="Verdana"/>
          <w:sz w:val="20"/>
          <w:szCs w:val="20"/>
        </w:rPr>
        <w:t xml:space="preserve">. The inventory of risks is reviewed during the yearly ICAAP process in cooperation with all functions within the Company and could be expanded if new risks are identified. </w:t>
      </w:r>
    </w:p>
    <w:p w14:paraId="5FBCE1BF" w14:textId="77777777" w:rsidR="00563B2C" w:rsidRDefault="00563B2C" w:rsidP="00563B2C">
      <w:pPr>
        <w:spacing w:after="0" w:line="240" w:lineRule="auto"/>
        <w:rPr>
          <w:rFonts w:ascii="Verdana" w:hAnsi="Verdana"/>
          <w:sz w:val="20"/>
          <w:szCs w:val="20"/>
        </w:rPr>
      </w:pPr>
    </w:p>
    <w:p w14:paraId="1751CA15" w14:textId="24E327C7" w:rsidR="00F01111" w:rsidRPr="00042F16" w:rsidRDefault="007B4136" w:rsidP="00563B2C">
      <w:pPr>
        <w:spacing w:after="0" w:line="240" w:lineRule="auto"/>
        <w:rPr>
          <w:rFonts w:ascii="Verdana" w:hAnsi="Verdana"/>
          <w:sz w:val="20"/>
          <w:szCs w:val="20"/>
        </w:rPr>
      </w:pPr>
      <w:r w:rsidRPr="00042F16">
        <w:rPr>
          <w:rFonts w:ascii="Verdana" w:hAnsi="Verdana"/>
          <w:sz w:val="20"/>
          <w:szCs w:val="20"/>
        </w:rPr>
        <w:t>Once the risks a</w:t>
      </w:r>
      <w:r w:rsidR="00E60468" w:rsidRPr="00042F16">
        <w:rPr>
          <w:rFonts w:ascii="Verdana" w:hAnsi="Verdana"/>
          <w:sz w:val="20"/>
          <w:szCs w:val="20"/>
        </w:rPr>
        <w:t>re identified, measured, manage</w:t>
      </w:r>
      <w:r w:rsidRPr="00042F16">
        <w:rPr>
          <w:rFonts w:ascii="Verdana" w:hAnsi="Verdana"/>
          <w:sz w:val="20"/>
          <w:szCs w:val="20"/>
        </w:rPr>
        <w:t>d and reported, the company is able to better control them and assess internal capital needs.</w:t>
      </w:r>
      <w:r w:rsidR="00E60468" w:rsidRPr="00042F16">
        <w:rPr>
          <w:rFonts w:ascii="Verdana" w:hAnsi="Verdana"/>
          <w:sz w:val="20"/>
          <w:szCs w:val="20"/>
        </w:rPr>
        <w:t xml:space="preserve"> </w:t>
      </w:r>
      <w:r w:rsidR="00F01111" w:rsidRPr="00042F16">
        <w:rPr>
          <w:rFonts w:ascii="Verdana" w:hAnsi="Verdana"/>
          <w:sz w:val="20"/>
          <w:szCs w:val="20"/>
        </w:rPr>
        <w:t xml:space="preserve">This capital must be </w:t>
      </w:r>
      <w:r w:rsidR="004750E9" w:rsidRPr="00042F16">
        <w:rPr>
          <w:rFonts w:ascii="Verdana" w:hAnsi="Verdana"/>
          <w:sz w:val="20"/>
          <w:szCs w:val="20"/>
        </w:rPr>
        <w:t xml:space="preserve">sufficient </w:t>
      </w:r>
      <w:r w:rsidR="00F01111" w:rsidRPr="00042F16">
        <w:rPr>
          <w:rFonts w:ascii="Verdana" w:hAnsi="Verdana"/>
          <w:sz w:val="20"/>
          <w:szCs w:val="20"/>
        </w:rPr>
        <w:t xml:space="preserve">in quantity and quality in order to </w:t>
      </w:r>
      <w:r w:rsidR="004750E9" w:rsidRPr="00042F16">
        <w:rPr>
          <w:rFonts w:ascii="Verdana" w:hAnsi="Verdana"/>
          <w:sz w:val="20"/>
          <w:szCs w:val="20"/>
        </w:rPr>
        <w:t xml:space="preserve">absorb </w:t>
      </w:r>
      <w:r w:rsidR="00711797" w:rsidRPr="00042F16">
        <w:rPr>
          <w:rFonts w:ascii="Verdana" w:hAnsi="Verdana"/>
          <w:sz w:val="20"/>
          <w:szCs w:val="20"/>
        </w:rPr>
        <w:t xml:space="preserve">any </w:t>
      </w:r>
      <w:r w:rsidR="004750E9" w:rsidRPr="00042F16">
        <w:rPr>
          <w:rFonts w:ascii="Verdana" w:hAnsi="Verdana"/>
          <w:sz w:val="20"/>
          <w:szCs w:val="20"/>
        </w:rPr>
        <w:t>losses. The</w:t>
      </w:r>
      <w:r w:rsidR="00711797" w:rsidRPr="00042F16">
        <w:rPr>
          <w:rFonts w:ascii="Verdana" w:hAnsi="Verdana"/>
          <w:sz w:val="20"/>
          <w:szCs w:val="20"/>
        </w:rPr>
        <w:t>refore, the</w:t>
      </w:r>
      <w:r w:rsidR="004750E9" w:rsidRPr="00042F16">
        <w:rPr>
          <w:rFonts w:ascii="Verdana" w:hAnsi="Verdana"/>
          <w:sz w:val="20"/>
          <w:szCs w:val="20"/>
        </w:rPr>
        <w:t xml:space="preserve"> ICAAP </w:t>
      </w:r>
      <w:r w:rsidR="00711797" w:rsidRPr="00042F16">
        <w:rPr>
          <w:rFonts w:ascii="Verdana" w:hAnsi="Verdana"/>
          <w:sz w:val="20"/>
          <w:szCs w:val="20"/>
        </w:rPr>
        <w:t xml:space="preserve">should consider the </w:t>
      </w:r>
      <w:r w:rsidR="004750E9" w:rsidRPr="00042F16">
        <w:rPr>
          <w:rFonts w:ascii="Verdana" w:hAnsi="Verdana"/>
          <w:sz w:val="20"/>
          <w:szCs w:val="20"/>
        </w:rPr>
        <w:t xml:space="preserve">current situation of </w:t>
      </w:r>
      <w:r w:rsidR="00DF0FC6" w:rsidRPr="00042F16">
        <w:rPr>
          <w:rFonts w:ascii="Verdana" w:hAnsi="Verdana"/>
          <w:sz w:val="20"/>
          <w:szCs w:val="20"/>
        </w:rPr>
        <w:t>t</w:t>
      </w:r>
      <w:r w:rsidR="003C5C14" w:rsidRPr="00042F16">
        <w:rPr>
          <w:rFonts w:ascii="Verdana" w:hAnsi="Verdana"/>
          <w:sz w:val="20"/>
          <w:szCs w:val="20"/>
        </w:rPr>
        <w:t>he Company</w:t>
      </w:r>
      <w:r w:rsidR="00711797" w:rsidRPr="00042F16">
        <w:rPr>
          <w:rFonts w:ascii="Verdana" w:hAnsi="Verdana"/>
          <w:sz w:val="20"/>
          <w:szCs w:val="20"/>
        </w:rPr>
        <w:t xml:space="preserve"> but should also be </w:t>
      </w:r>
      <w:r w:rsidR="004750E9" w:rsidRPr="00042F16">
        <w:rPr>
          <w:rFonts w:ascii="Verdana" w:hAnsi="Verdana"/>
          <w:sz w:val="20"/>
          <w:szCs w:val="20"/>
        </w:rPr>
        <w:t>forward-looking in order to ensure the internal capita</w:t>
      </w:r>
      <w:r w:rsidR="00F30D5A" w:rsidRPr="00042F16">
        <w:rPr>
          <w:rFonts w:ascii="Verdana" w:hAnsi="Verdana"/>
          <w:sz w:val="20"/>
          <w:szCs w:val="20"/>
        </w:rPr>
        <w:t xml:space="preserve">l adequacy on an ongoing basis. </w:t>
      </w:r>
    </w:p>
    <w:p w14:paraId="6C2D3CBE" w14:textId="77777777" w:rsidR="00563B2C" w:rsidRDefault="00563B2C" w:rsidP="00563B2C">
      <w:pPr>
        <w:spacing w:after="0" w:line="240" w:lineRule="auto"/>
        <w:rPr>
          <w:rFonts w:ascii="Verdana" w:hAnsi="Verdana"/>
          <w:sz w:val="20"/>
          <w:szCs w:val="20"/>
        </w:rPr>
      </w:pPr>
    </w:p>
    <w:p w14:paraId="598A5AE4" w14:textId="5FC0408E" w:rsidR="007B4136" w:rsidRPr="00042F16" w:rsidRDefault="007B4136" w:rsidP="00563B2C">
      <w:pPr>
        <w:spacing w:after="0" w:line="240" w:lineRule="auto"/>
        <w:rPr>
          <w:rFonts w:ascii="Verdana" w:hAnsi="Verdana"/>
          <w:sz w:val="20"/>
          <w:szCs w:val="20"/>
        </w:rPr>
      </w:pPr>
      <w:r w:rsidRPr="00042F16">
        <w:rPr>
          <w:rFonts w:ascii="Verdana" w:hAnsi="Verdana"/>
          <w:sz w:val="20"/>
          <w:szCs w:val="20"/>
        </w:rPr>
        <w:t>Therefore, the ICAAP process can be divided into three main steps:</w:t>
      </w:r>
    </w:p>
    <w:p w14:paraId="6D796FCF" w14:textId="2AF160C9" w:rsidR="007B4136" w:rsidRPr="00042F16" w:rsidRDefault="007B4136" w:rsidP="00563B2C">
      <w:pPr>
        <w:pStyle w:val="ListParagraph"/>
        <w:numPr>
          <w:ilvl w:val="0"/>
          <w:numId w:val="8"/>
        </w:numPr>
        <w:spacing w:after="0" w:line="240" w:lineRule="auto"/>
        <w:rPr>
          <w:rFonts w:ascii="Verdana" w:hAnsi="Verdana"/>
          <w:sz w:val="20"/>
          <w:szCs w:val="20"/>
        </w:rPr>
      </w:pPr>
      <w:r w:rsidRPr="00042F16">
        <w:rPr>
          <w:rFonts w:ascii="Verdana" w:hAnsi="Verdana"/>
          <w:sz w:val="20"/>
          <w:szCs w:val="20"/>
        </w:rPr>
        <w:t>Risk identification</w:t>
      </w:r>
    </w:p>
    <w:p w14:paraId="0C9C506F" w14:textId="62F083D1" w:rsidR="007B4136" w:rsidRPr="00042F16" w:rsidRDefault="007B4136" w:rsidP="00563B2C">
      <w:pPr>
        <w:pStyle w:val="ListParagraph"/>
        <w:numPr>
          <w:ilvl w:val="0"/>
          <w:numId w:val="8"/>
        </w:numPr>
        <w:spacing w:after="0" w:line="240" w:lineRule="auto"/>
        <w:rPr>
          <w:rFonts w:ascii="Verdana" w:hAnsi="Verdana"/>
          <w:sz w:val="20"/>
          <w:szCs w:val="20"/>
        </w:rPr>
      </w:pPr>
      <w:r w:rsidRPr="00042F16">
        <w:rPr>
          <w:rFonts w:ascii="Verdana" w:hAnsi="Verdana"/>
          <w:sz w:val="20"/>
          <w:szCs w:val="20"/>
        </w:rPr>
        <w:t>Risk measurement</w:t>
      </w:r>
    </w:p>
    <w:p w14:paraId="3FFDCC35" w14:textId="3711F780" w:rsidR="007B4136" w:rsidRPr="00042F16" w:rsidRDefault="007B4136" w:rsidP="00563B2C">
      <w:pPr>
        <w:pStyle w:val="ListParagraph"/>
        <w:numPr>
          <w:ilvl w:val="0"/>
          <w:numId w:val="8"/>
        </w:numPr>
        <w:spacing w:after="0" w:line="240" w:lineRule="auto"/>
        <w:rPr>
          <w:rFonts w:ascii="Verdana" w:hAnsi="Verdana"/>
          <w:sz w:val="20"/>
          <w:szCs w:val="20"/>
        </w:rPr>
      </w:pPr>
      <w:r w:rsidRPr="00042F16">
        <w:rPr>
          <w:rFonts w:ascii="Verdana" w:hAnsi="Verdana"/>
          <w:sz w:val="20"/>
          <w:szCs w:val="20"/>
        </w:rPr>
        <w:t>Internal Capital needs assessment</w:t>
      </w:r>
    </w:p>
    <w:p w14:paraId="5DD2D2B4" w14:textId="77777777" w:rsidR="005B0625" w:rsidRDefault="005B0625" w:rsidP="00563B2C">
      <w:pPr>
        <w:spacing w:after="0" w:line="240" w:lineRule="auto"/>
        <w:rPr>
          <w:rFonts w:ascii="Verdana" w:hAnsi="Verdana"/>
          <w:sz w:val="20"/>
          <w:szCs w:val="20"/>
        </w:rPr>
      </w:pPr>
    </w:p>
    <w:p w14:paraId="6E3E9BEB" w14:textId="5087CB24" w:rsidR="00AE27BB" w:rsidRPr="00042F16" w:rsidRDefault="00AE27BB" w:rsidP="00563B2C">
      <w:pPr>
        <w:spacing w:after="0" w:line="240" w:lineRule="auto"/>
        <w:rPr>
          <w:rFonts w:ascii="Verdana" w:hAnsi="Verdana"/>
          <w:sz w:val="20"/>
          <w:szCs w:val="20"/>
        </w:rPr>
      </w:pPr>
      <w:r w:rsidRPr="00042F16">
        <w:rPr>
          <w:rFonts w:ascii="Verdana" w:hAnsi="Verdana"/>
          <w:sz w:val="20"/>
          <w:szCs w:val="20"/>
        </w:rPr>
        <w:t xml:space="preserve">Identified </w:t>
      </w:r>
      <w:r w:rsidR="00F30D5A" w:rsidRPr="00042F16">
        <w:rPr>
          <w:rFonts w:ascii="Verdana" w:hAnsi="Verdana"/>
          <w:sz w:val="20"/>
          <w:szCs w:val="20"/>
        </w:rPr>
        <w:t>relevant risks are categorised according to the probability of</w:t>
      </w:r>
      <w:r w:rsidR="00D029DA" w:rsidRPr="00042F16">
        <w:rPr>
          <w:rFonts w:ascii="Verdana" w:hAnsi="Verdana"/>
          <w:sz w:val="20"/>
          <w:szCs w:val="20"/>
        </w:rPr>
        <w:t xml:space="preserve"> a negative event occurring</w:t>
      </w:r>
      <w:r w:rsidR="00F30D5A" w:rsidRPr="00042F16">
        <w:rPr>
          <w:rFonts w:ascii="Verdana" w:hAnsi="Verdana"/>
          <w:sz w:val="20"/>
          <w:szCs w:val="20"/>
        </w:rPr>
        <w:t xml:space="preserve">. </w:t>
      </w:r>
      <w:r w:rsidRPr="00042F16">
        <w:rPr>
          <w:rFonts w:ascii="Verdana" w:hAnsi="Verdana"/>
          <w:sz w:val="20"/>
          <w:szCs w:val="20"/>
        </w:rPr>
        <w:t xml:space="preserve">The Risk Management department and the </w:t>
      </w:r>
      <w:r w:rsidR="009F197D" w:rsidRPr="00042F16">
        <w:rPr>
          <w:rFonts w:ascii="Verdana" w:hAnsi="Verdana"/>
          <w:sz w:val="20"/>
          <w:szCs w:val="20"/>
        </w:rPr>
        <w:t>G</w:t>
      </w:r>
      <w:r w:rsidRPr="00042F16">
        <w:rPr>
          <w:rFonts w:ascii="Verdana" w:hAnsi="Verdana"/>
          <w:sz w:val="20"/>
          <w:szCs w:val="20"/>
        </w:rPr>
        <w:t xml:space="preserve">roup </w:t>
      </w:r>
      <w:r w:rsidR="009F197D" w:rsidRPr="00042F16">
        <w:rPr>
          <w:rFonts w:ascii="Verdana" w:hAnsi="Verdana"/>
          <w:sz w:val="20"/>
          <w:szCs w:val="20"/>
        </w:rPr>
        <w:t>E</w:t>
      </w:r>
      <w:r w:rsidRPr="00042F16">
        <w:rPr>
          <w:rFonts w:ascii="Verdana" w:hAnsi="Verdana"/>
          <w:sz w:val="20"/>
          <w:szCs w:val="20"/>
        </w:rPr>
        <w:t xml:space="preserve">xecutive </w:t>
      </w:r>
      <w:r w:rsidR="009F197D" w:rsidRPr="00042F16">
        <w:rPr>
          <w:rFonts w:ascii="Verdana" w:hAnsi="Verdana"/>
          <w:sz w:val="20"/>
          <w:szCs w:val="20"/>
        </w:rPr>
        <w:t>C</w:t>
      </w:r>
      <w:r w:rsidRPr="00042F16">
        <w:rPr>
          <w:rFonts w:ascii="Verdana" w:hAnsi="Verdana"/>
          <w:sz w:val="20"/>
          <w:szCs w:val="20"/>
        </w:rPr>
        <w:t xml:space="preserve">ommittee limit measurement to major risks only. </w:t>
      </w:r>
      <w:r w:rsidR="00D029DA" w:rsidRPr="00042F16">
        <w:rPr>
          <w:rFonts w:ascii="Verdana" w:hAnsi="Verdana"/>
          <w:sz w:val="20"/>
          <w:szCs w:val="20"/>
        </w:rPr>
        <w:t xml:space="preserve">The RM department has many tools at its disposal in order </w:t>
      </w:r>
      <w:r w:rsidRPr="00042F16">
        <w:rPr>
          <w:rFonts w:ascii="Verdana" w:hAnsi="Verdana"/>
          <w:sz w:val="20"/>
          <w:szCs w:val="20"/>
        </w:rPr>
        <w:t xml:space="preserve">to measure the identified risks, such as loss reports, stress tests, key risk indicators and qualitative judgement. </w:t>
      </w:r>
      <w:r w:rsidR="002F2ED1" w:rsidRPr="00042F16">
        <w:rPr>
          <w:rFonts w:ascii="Verdana" w:hAnsi="Verdana"/>
          <w:sz w:val="20"/>
          <w:szCs w:val="20"/>
        </w:rPr>
        <w:t>The Company</w:t>
      </w:r>
      <w:r w:rsidRPr="00042F16">
        <w:rPr>
          <w:rFonts w:ascii="Verdana" w:hAnsi="Verdana"/>
          <w:sz w:val="20"/>
          <w:szCs w:val="20"/>
        </w:rPr>
        <w:t xml:space="preserve"> applies </w:t>
      </w:r>
      <w:r w:rsidR="00D4128F" w:rsidRPr="00042F16">
        <w:rPr>
          <w:rFonts w:ascii="Verdana" w:hAnsi="Verdana"/>
          <w:sz w:val="20"/>
          <w:szCs w:val="20"/>
        </w:rPr>
        <w:t xml:space="preserve">three different crisis scenarios </w:t>
      </w:r>
      <w:r w:rsidR="004A6D4D" w:rsidRPr="00042F16">
        <w:rPr>
          <w:rFonts w:ascii="Verdana" w:hAnsi="Verdana"/>
          <w:sz w:val="20"/>
          <w:szCs w:val="20"/>
        </w:rPr>
        <w:t>in order to estimate the most negative potential risk</w:t>
      </w:r>
      <w:r w:rsidR="00D4128F" w:rsidRPr="00042F16">
        <w:rPr>
          <w:rFonts w:ascii="Verdana" w:hAnsi="Verdana"/>
          <w:sz w:val="20"/>
          <w:szCs w:val="20"/>
        </w:rPr>
        <w:t>.</w:t>
      </w:r>
    </w:p>
    <w:p w14:paraId="7BEA23F8" w14:textId="77777777" w:rsidR="005B0625" w:rsidRDefault="005B0625" w:rsidP="00563B2C">
      <w:pPr>
        <w:spacing w:after="0" w:line="240" w:lineRule="auto"/>
        <w:rPr>
          <w:rFonts w:ascii="Verdana" w:hAnsi="Verdana"/>
          <w:sz w:val="20"/>
          <w:szCs w:val="20"/>
        </w:rPr>
      </w:pPr>
    </w:p>
    <w:p w14:paraId="11666939" w14:textId="4FD40409" w:rsidR="00F30D5A" w:rsidRPr="00042F16" w:rsidRDefault="00F30D5A" w:rsidP="00563B2C">
      <w:pPr>
        <w:spacing w:after="0" w:line="240" w:lineRule="auto"/>
        <w:rPr>
          <w:rFonts w:ascii="Verdana" w:hAnsi="Verdana"/>
          <w:sz w:val="20"/>
          <w:szCs w:val="20"/>
        </w:rPr>
      </w:pPr>
      <w:r w:rsidRPr="00042F16">
        <w:rPr>
          <w:rFonts w:ascii="Verdana" w:hAnsi="Verdana"/>
          <w:sz w:val="20"/>
          <w:szCs w:val="20"/>
        </w:rPr>
        <w:t>The financial impact consists of the actual direct adverse effect of the event, and the possible cost of rectifying the situation (if/when applicable).</w:t>
      </w:r>
    </w:p>
    <w:p w14:paraId="1F904569" w14:textId="77777777" w:rsidR="0045405F" w:rsidRPr="00042F16" w:rsidRDefault="0045405F" w:rsidP="00563B2C">
      <w:pPr>
        <w:spacing w:after="0" w:line="240" w:lineRule="auto"/>
        <w:rPr>
          <w:rFonts w:ascii="Verdana" w:hAnsi="Verdana"/>
          <w:sz w:val="20"/>
          <w:szCs w:val="20"/>
        </w:rPr>
      </w:pPr>
    </w:p>
    <w:p w14:paraId="13ABB57F" w14:textId="6072E677" w:rsidR="006F296A" w:rsidRPr="005B0625" w:rsidRDefault="005B0625" w:rsidP="00563B2C">
      <w:pPr>
        <w:pStyle w:val="Heading3"/>
        <w:spacing w:before="0" w:line="240" w:lineRule="auto"/>
        <w:ind w:left="567" w:hanging="567"/>
        <w:rPr>
          <w:rFonts w:ascii="Verdana" w:hAnsi="Verdana"/>
          <w:b/>
          <w:color w:val="6CACE4"/>
          <w:sz w:val="22"/>
          <w:szCs w:val="22"/>
        </w:rPr>
      </w:pPr>
      <w:bookmarkStart w:id="47" w:name="_Toc22716589"/>
      <w:r>
        <w:rPr>
          <w:rFonts w:ascii="Verdana" w:hAnsi="Verdana"/>
          <w:b/>
          <w:color w:val="6CACE4"/>
          <w:sz w:val="22"/>
          <w:szCs w:val="22"/>
        </w:rPr>
        <w:t xml:space="preserve"> </w:t>
      </w:r>
      <w:r w:rsidR="006F296A" w:rsidRPr="005B0625">
        <w:rPr>
          <w:rFonts w:ascii="Verdana" w:hAnsi="Verdana"/>
          <w:b/>
          <w:color w:val="6CACE4"/>
          <w:sz w:val="22"/>
          <w:szCs w:val="22"/>
        </w:rPr>
        <w:t>Risk Overview</w:t>
      </w:r>
      <w:bookmarkEnd w:id="47"/>
    </w:p>
    <w:p w14:paraId="4ACF29A4" w14:textId="77777777" w:rsidR="00563B2C" w:rsidRPr="00563B2C" w:rsidRDefault="00563B2C" w:rsidP="00563B2C">
      <w:pPr>
        <w:spacing w:after="0" w:line="240" w:lineRule="auto"/>
      </w:pPr>
    </w:p>
    <w:p w14:paraId="4CB8F6AB" w14:textId="6715FB33" w:rsidR="006F296A" w:rsidRDefault="006F296A" w:rsidP="00563B2C">
      <w:pPr>
        <w:spacing w:after="0" w:line="240" w:lineRule="auto"/>
        <w:rPr>
          <w:rFonts w:ascii="Verdana" w:hAnsi="Verdana"/>
          <w:sz w:val="20"/>
          <w:szCs w:val="20"/>
        </w:rPr>
      </w:pPr>
      <w:r w:rsidRPr="00042F16">
        <w:rPr>
          <w:rFonts w:ascii="Verdana" w:hAnsi="Verdana"/>
          <w:sz w:val="20"/>
          <w:szCs w:val="20"/>
        </w:rPr>
        <w:t xml:space="preserve">The table below summarises the ICAAP relevant risks and how they are categorised. As explained above, The Risk management department and the Executive committee limit measurement to major risks only. The ICAAP ongoing process is annual </w:t>
      </w:r>
      <w:r w:rsidR="0060275C">
        <w:rPr>
          <w:rFonts w:ascii="Verdana" w:hAnsi="Verdana"/>
          <w:sz w:val="20"/>
          <w:szCs w:val="20"/>
        </w:rPr>
        <w:t>and the risks identified in 2019</w:t>
      </w:r>
      <w:r w:rsidRPr="00042F16">
        <w:rPr>
          <w:rFonts w:ascii="Verdana" w:hAnsi="Verdana"/>
          <w:sz w:val="20"/>
          <w:szCs w:val="20"/>
        </w:rPr>
        <w:t xml:space="preserve"> remained the same as th</w:t>
      </w:r>
      <w:r w:rsidR="0060275C">
        <w:rPr>
          <w:rFonts w:ascii="Verdana" w:hAnsi="Verdana"/>
          <w:sz w:val="20"/>
          <w:szCs w:val="20"/>
        </w:rPr>
        <w:t>e major risks identified in 2018</w:t>
      </w:r>
      <w:r w:rsidRPr="00042F16">
        <w:rPr>
          <w:rFonts w:ascii="Verdana" w:hAnsi="Verdana"/>
          <w:sz w:val="20"/>
          <w:szCs w:val="20"/>
        </w:rPr>
        <w:t xml:space="preserve">. </w:t>
      </w:r>
    </w:p>
    <w:p w14:paraId="087D4AB4" w14:textId="77777777" w:rsidR="00563B2C" w:rsidRDefault="00563B2C" w:rsidP="00563B2C">
      <w:pPr>
        <w:spacing w:after="0" w:line="240" w:lineRule="auto"/>
        <w:rPr>
          <w:rFonts w:ascii="Verdana" w:hAnsi="Verdana"/>
          <w:sz w:val="20"/>
          <w:szCs w:val="20"/>
        </w:rPr>
      </w:pPr>
    </w:p>
    <w:p w14:paraId="4C8B20F7" w14:textId="77777777" w:rsidR="005B0625" w:rsidRDefault="005B0625" w:rsidP="00563B2C">
      <w:pPr>
        <w:spacing w:after="0" w:line="240" w:lineRule="auto"/>
        <w:rPr>
          <w:rFonts w:ascii="Verdana" w:hAnsi="Verdana"/>
          <w:sz w:val="20"/>
          <w:szCs w:val="20"/>
        </w:rPr>
      </w:pPr>
    </w:p>
    <w:p w14:paraId="107C7ACD" w14:textId="77777777" w:rsidR="005B0625" w:rsidRDefault="005B0625" w:rsidP="00563B2C">
      <w:pPr>
        <w:spacing w:after="0" w:line="240" w:lineRule="auto"/>
        <w:rPr>
          <w:rFonts w:ascii="Verdana" w:hAnsi="Verdana"/>
          <w:sz w:val="20"/>
          <w:szCs w:val="20"/>
        </w:rPr>
      </w:pPr>
    </w:p>
    <w:p w14:paraId="127FC080" w14:textId="77777777" w:rsidR="005B0625" w:rsidRDefault="005B0625" w:rsidP="00563B2C">
      <w:pPr>
        <w:spacing w:after="0" w:line="240" w:lineRule="auto"/>
        <w:rPr>
          <w:rFonts w:ascii="Verdana" w:hAnsi="Verdana"/>
          <w:sz w:val="20"/>
          <w:szCs w:val="20"/>
        </w:rPr>
      </w:pPr>
    </w:p>
    <w:p w14:paraId="4A08A08D" w14:textId="77777777" w:rsidR="005B0625" w:rsidRDefault="005B0625" w:rsidP="00563B2C">
      <w:pPr>
        <w:spacing w:after="0" w:line="240" w:lineRule="auto"/>
        <w:rPr>
          <w:rFonts w:ascii="Verdana" w:hAnsi="Verdana"/>
          <w:sz w:val="20"/>
          <w:szCs w:val="20"/>
        </w:rPr>
      </w:pPr>
    </w:p>
    <w:p w14:paraId="480427F3" w14:textId="77777777" w:rsidR="005B0625" w:rsidRPr="00042F16" w:rsidRDefault="005B0625" w:rsidP="00563B2C">
      <w:pPr>
        <w:spacing w:after="0" w:line="240" w:lineRule="auto"/>
        <w:rPr>
          <w:rFonts w:ascii="Verdana" w:hAnsi="Verdana"/>
          <w:sz w:val="20"/>
          <w:szCs w:val="20"/>
        </w:rPr>
      </w:pPr>
    </w:p>
    <w:p w14:paraId="60AA4D4E" w14:textId="409F016C" w:rsidR="009F5E59" w:rsidRPr="005B0625" w:rsidRDefault="00851FCD" w:rsidP="00563B2C">
      <w:pPr>
        <w:pStyle w:val="Caption"/>
        <w:spacing w:after="0"/>
        <w:rPr>
          <w:rFonts w:ascii="Verdana" w:hAnsi="Verdana"/>
          <w:color w:val="auto"/>
          <w:sz w:val="20"/>
          <w:szCs w:val="20"/>
        </w:rPr>
      </w:pPr>
      <w:bookmarkStart w:id="48" w:name="_Toc22716631"/>
      <w:r w:rsidRPr="005B0625">
        <w:rPr>
          <w:rFonts w:ascii="Verdana" w:hAnsi="Verdana"/>
          <w:color w:val="auto"/>
          <w:sz w:val="20"/>
          <w:szCs w:val="20"/>
        </w:rPr>
        <w:lastRenderedPageBreak/>
        <w:t xml:space="preserve">Table </w:t>
      </w:r>
      <w:r w:rsidRPr="005B0625">
        <w:rPr>
          <w:rFonts w:ascii="Verdana" w:hAnsi="Verdana"/>
          <w:color w:val="auto"/>
          <w:sz w:val="20"/>
          <w:szCs w:val="20"/>
        </w:rPr>
        <w:fldChar w:fldCharType="begin"/>
      </w:r>
      <w:r w:rsidRPr="005B0625">
        <w:rPr>
          <w:rFonts w:ascii="Verdana" w:hAnsi="Verdana"/>
          <w:color w:val="auto"/>
          <w:sz w:val="20"/>
          <w:szCs w:val="20"/>
        </w:rPr>
        <w:instrText xml:space="preserve"> SEQ Table \* ARABIC </w:instrText>
      </w:r>
      <w:r w:rsidRPr="005B0625">
        <w:rPr>
          <w:rFonts w:ascii="Verdana" w:hAnsi="Verdana"/>
          <w:color w:val="auto"/>
          <w:sz w:val="20"/>
          <w:szCs w:val="20"/>
        </w:rPr>
        <w:fldChar w:fldCharType="separate"/>
      </w:r>
      <w:r w:rsidR="00E7065A" w:rsidRPr="005B0625">
        <w:rPr>
          <w:rFonts w:ascii="Verdana" w:hAnsi="Verdana"/>
          <w:noProof/>
          <w:color w:val="auto"/>
          <w:sz w:val="20"/>
          <w:szCs w:val="20"/>
        </w:rPr>
        <w:t>7</w:t>
      </w:r>
      <w:r w:rsidRPr="005B0625">
        <w:rPr>
          <w:rFonts w:ascii="Verdana" w:hAnsi="Verdana"/>
          <w:color w:val="auto"/>
          <w:sz w:val="20"/>
          <w:szCs w:val="20"/>
        </w:rPr>
        <w:fldChar w:fldCharType="end"/>
      </w:r>
      <w:r w:rsidRPr="005B0625">
        <w:rPr>
          <w:rFonts w:ascii="Verdana" w:hAnsi="Verdana"/>
          <w:color w:val="auto"/>
          <w:sz w:val="20"/>
          <w:szCs w:val="20"/>
        </w:rPr>
        <w:t xml:space="preserve"> :  ICAAP relevant risks</w:t>
      </w:r>
      <w:bookmarkEnd w:id="48"/>
    </w:p>
    <w:tbl>
      <w:tblPr>
        <w:tblW w:w="5000" w:type="pct"/>
        <w:tblLook w:val="04A0" w:firstRow="1" w:lastRow="0" w:firstColumn="1" w:lastColumn="0" w:noHBand="0" w:noVBand="1"/>
      </w:tblPr>
      <w:tblGrid>
        <w:gridCol w:w="4733"/>
        <w:gridCol w:w="4722"/>
      </w:tblGrid>
      <w:tr w:rsidR="00883CEA" w:rsidRPr="00042F16" w14:paraId="6845102F" w14:textId="77777777" w:rsidTr="005B0625">
        <w:trPr>
          <w:trHeight w:val="315"/>
        </w:trPr>
        <w:tc>
          <w:tcPr>
            <w:tcW w:w="2503" w:type="pct"/>
            <w:tcBorders>
              <w:top w:val="single" w:sz="8" w:space="0" w:color="auto"/>
              <w:left w:val="single" w:sz="8" w:space="0" w:color="auto"/>
              <w:bottom w:val="single" w:sz="8" w:space="0" w:color="auto"/>
              <w:right w:val="nil"/>
            </w:tcBorders>
            <w:shd w:val="clear" w:color="auto" w:fill="6CACE4"/>
            <w:noWrap/>
            <w:vAlign w:val="bottom"/>
            <w:hideMark/>
          </w:tcPr>
          <w:p w14:paraId="58947174" w14:textId="77777777" w:rsidR="006F296A" w:rsidRPr="00042F16" w:rsidRDefault="006F296A" w:rsidP="00563B2C">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Risk inventory</w:t>
            </w:r>
          </w:p>
        </w:tc>
        <w:tc>
          <w:tcPr>
            <w:tcW w:w="2497" w:type="pct"/>
            <w:tcBorders>
              <w:top w:val="single" w:sz="8" w:space="0" w:color="auto"/>
              <w:left w:val="nil"/>
              <w:bottom w:val="single" w:sz="8" w:space="0" w:color="auto"/>
              <w:right w:val="single" w:sz="8" w:space="0" w:color="auto"/>
            </w:tcBorders>
            <w:shd w:val="clear" w:color="auto" w:fill="6CACE4"/>
            <w:noWrap/>
            <w:vAlign w:val="bottom"/>
            <w:hideMark/>
          </w:tcPr>
          <w:p w14:paraId="51D15F62" w14:textId="41B2BC48" w:rsidR="006F296A" w:rsidRPr="00042F16" w:rsidRDefault="00BA1459" w:rsidP="00C966F4">
            <w:pPr>
              <w:spacing w:after="0" w:line="240" w:lineRule="auto"/>
              <w:jc w:val="center"/>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Corresponding Basel pillar</w:t>
            </w:r>
          </w:p>
        </w:tc>
      </w:tr>
      <w:tr w:rsidR="006F296A" w:rsidRPr="00042F16" w14:paraId="03496BF3"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3C8AD642" w14:textId="77777777"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Credit risk</w:t>
            </w:r>
          </w:p>
        </w:tc>
        <w:tc>
          <w:tcPr>
            <w:tcW w:w="2497" w:type="pct"/>
            <w:tcBorders>
              <w:top w:val="nil"/>
              <w:left w:val="nil"/>
              <w:bottom w:val="nil"/>
              <w:right w:val="single" w:sz="8" w:space="0" w:color="auto"/>
            </w:tcBorders>
            <w:shd w:val="clear" w:color="auto" w:fill="auto"/>
            <w:noWrap/>
            <w:vAlign w:val="center"/>
          </w:tcPr>
          <w:p w14:paraId="354A6D21" w14:textId="3F2A6008"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 global risk</w:t>
            </w:r>
          </w:p>
        </w:tc>
      </w:tr>
      <w:tr w:rsidR="006F296A" w:rsidRPr="00042F16" w14:paraId="016FAE03"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32BEFE67" w14:textId="717E0FFE"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Market risk</w:t>
            </w:r>
          </w:p>
        </w:tc>
        <w:tc>
          <w:tcPr>
            <w:tcW w:w="2497" w:type="pct"/>
            <w:tcBorders>
              <w:top w:val="nil"/>
              <w:left w:val="nil"/>
              <w:bottom w:val="nil"/>
              <w:right w:val="single" w:sz="8" w:space="0" w:color="auto"/>
            </w:tcBorders>
            <w:shd w:val="clear" w:color="auto" w:fill="auto"/>
            <w:noWrap/>
            <w:vAlign w:val="center"/>
          </w:tcPr>
          <w:p w14:paraId="643286F1" w14:textId="76011201"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 global risk</w:t>
            </w:r>
          </w:p>
        </w:tc>
      </w:tr>
      <w:tr w:rsidR="006F296A" w:rsidRPr="00042F16" w14:paraId="1345A960"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34735021" w14:textId="15328BD8"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Operational risk</w:t>
            </w:r>
          </w:p>
        </w:tc>
        <w:tc>
          <w:tcPr>
            <w:tcW w:w="2497" w:type="pct"/>
            <w:tcBorders>
              <w:top w:val="nil"/>
              <w:left w:val="nil"/>
              <w:bottom w:val="nil"/>
              <w:right w:val="single" w:sz="8" w:space="0" w:color="auto"/>
            </w:tcBorders>
            <w:shd w:val="clear" w:color="auto" w:fill="auto"/>
            <w:noWrap/>
            <w:vAlign w:val="center"/>
          </w:tcPr>
          <w:p w14:paraId="46D5CDD1" w14:textId="271139F9"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 global risk</w:t>
            </w:r>
          </w:p>
        </w:tc>
      </w:tr>
      <w:tr w:rsidR="006F296A" w:rsidRPr="00042F16" w14:paraId="5EC70CEB"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727F8CF5" w14:textId="3EEFAF18"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Liquidity risk</w:t>
            </w:r>
          </w:p>
        </w:tc>
        <w:tc>
          <w:tcPr>
            <w:tcW w:w="2497" w:type="pct"/>
            <w:tcBorders>
              <w:top w:val="nil"/>
              <w:left w:val="nil"/>
              <w:bottom w:val="nil"/>
              <w:right w:val="single" w:sz="8" w:space="0" w:color="auto"/>
            </w:tcBorders>
            <w:shd w:val="clear" w:color="auto" w:fill="auto"/>
            <w:noWrap/>
            <w:vAlign w:val="center"/>
          </w:tcPr>
          <w:p w14:paraId="224F7EFA" w14:textId="2172D6ED"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264EFA8B"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154773E2" w14:textId="03F8921D"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Settlement risk</w:t>
            </w:r>
          </w:p>
        </w:tc>
        <w:tc>
          <w:tcPr>
            <w:tcW w:w="2497" w:type="pct"/>
            <w:tcBorders>
              <w:top w:val="nil"/>
              <w:left w:val="nil"/>
              <w:bottom w:val="nil"/>
              <w:right w:val="single" w:sz="8" w:space="0" w:color="auto"/>
            </w:tcBorders>
            <w:shd w:val="clear" w:color="auto" w:fill="auto"/>
            <w:noWrap/>
            <w:vAlign w:val="center"/>
          </w:tcPr>
          <w:p w14:paraId="713556C7" w14:textId="1D1AC1E7"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7D7DCE73"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3EEE6FDA" w14:textId="0C035553"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 xml:space="preserve">Pricing risk </w:t>
            </w:r>
          </w:p>
        </w:tc>
        <w:tc>
          <w:tcPr>
            <w:tcW w:w="2497" w:type="pct"/>
            <w:tcBorders>
              <w:top w:val="nil"/>
              <w:left w:val="nil"/>
              <w:bottom w:val="nil"/>
              <w:right w:val="single" w:sz="8" w:space="0" w:color="auto"/>
            </w:tcBorders>
            <w:shd w:val="clear" w:color="auto" w:fill="auto"/>
            <w:noWrap/>
            <w:vAlign w:val="center"/>
          </w:tcPr>
          <w:p w14:paraId="5C45D15D" w14:textId="45D05A5E"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1EFA6D35"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5E6600AB" w14:textId="26361B0F"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Concentration risk</w:t>
            </w:r>
          </w:p>
        </w:tc>
        <w:tc>
          <w:tcPr>
            <w:tcW w:w="2497" w:type="pct"/>
            <w:tcBorders>
              <w:top w:val="nil"/>
              <w:left w:val="nil"/>
              <w:bottom w:val="nil"/>
              <w:right w:val="single" w:sz="8" w:space="0" w:color="auto"/>
            </w:tcBorders>
            <w:shd w:val="clear" w:color="auto" w:fill="auto"/>
            <w:noWrap/>
            <w:vAlign w:val="center"/>
          </w:tcPr>
          <w:p w14:paraId="0A3499BC" w14:textId="0919814A"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56628EFD"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083C4EAB" w14:textId="6EB19FB6" w:rsidR="006F296A" w:rsidRPr="00042F16" w:rsidRDefault="0060275C" w:rsidP="00563B2C">
            <w:pPr>
              <w:spacing w:after="0" w:line="240" w:lineRule="auto"/>
              <w:rPr>
                <w:rFonts w:ascii="Verdana" w:hAnsi="Verdana"/>
                <w:sz w:val="20"/>
                <w:szCs w:val="20"/>
                <w:lang w:eastAsia="en-GB"/>
              </w:rPr>
            </w:pPr>
            <w:r>
              <w:rPr>
                <w:rFonts w:ascii="Verdana" w:hAnsi="Verdana"/>
                <w:sz w:val="20"/>
                <w:szCs w:val="20"/>
                <w:lang w:eastAsia="en-GB"/>
              </w:rPr>
              <w:t xml:space="preserve">Counterparty &amp; depositary </w:t>
            </w:r>
            <w:r w:rsidR="006F296A" w:rsidRPr="00042F16">
              <w:rPr>
                <w:rFonts w:ascii="Verdana" w:hAnsi="Verdana"/>
                <w:sz w:val="20"/>
                <w:szCs w:val="20"/>
                <w:lang w:eastAsia="en-GB"/>
              </w:rPr>
              <w:t>risk</w:t>
            </w:r>
          </w:p>
        </w:tc>
        <w:tc>
          <w:tcPr>
            <w:tcW w:w="2497" w:type="pct"/>
            <w:tcBorders>
              <w:top w:val="nil"/>
              <w:left w:val="nil"/>
              <w:bottom w:val="nil"/>
              <w:right w:val="single" w:sz="8" w:space="0" w:color="auto"/>
            </w:tcBorders>
            <w:shd w:val="clear" w:color="auto" w:fill="auto"/>
            <w:noWrap/>
            <w:vAlign w:val="center"/>
          </w:tcPr>
          <w:p w14:paraId="0CA2A362" w14:textId="150BE2FC"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14D77FFC"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1E145615" w14:textId="2B168D29"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Reputation risk</w:t>
            </w:r>
          </w:p>
        </w:tc>
        <w:tc>
          <w:tcPr>
            <w:tcW w:w="2497" w:type="pct"/>
            <w:tcBorders>
              <w:top w:val="nil"/>
              <w:left w:val="nil"/>
              <w:bottom w:val="nil"/>
              <w:right w:val="single" w:sz="8" w:space="0" w:color="auto"/>
            </w:tcBorders>
            <w:shd w:val="clear" w:color="auto" w:fill="auto"/>
            <w:noWrap/>
            <w:vAlign w:val="center"/>
          </w:tcPr>
          <w:p w14:paraId="0D3712C3" w14:textId="15B440BF"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0D093D58"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2A55A26B" w14:textId="4CEE8300"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Complex product risk</w:t>
            </w:r>
          </w:p>
        </w:tc>
        <w:tc>
          <w:tcPr>
            <w:tcW w:w="2497" w:type="pct"/>
            <w:tcBorders>
              <w:top w:val="nil"/>
              <w:left w:val="nil"/>
              <w:bottom w:val="nil"/>
              <w:right w:val="single" w:sz="8" w:space="0" w:color="auto"/>
            </w:tcBorders>
            <w:shd w:val="clear" w:color="auto" w:fill="auto"/>
            <w:noWrap/>
            <w:vAlign w:val="center"/>
          </w:tcPr>
          <w:p w14:paraId="32449B5E" w14:textId="39DFCB65"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4E893A15"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3683046E" w14:textId="4CFA5E50" w:rsidR="006F296A" w:rsidRPr="00042F16" w:rsidRDefault="006F296A" w:rsidP="00563B2C">
            <w:pPr>
              <w:spacing w:after="0" w:line="240" w:lineRule="auto"/>
              <w:rPr>
                <w:rFonts w:ascii="Verdana" w:hAnsi="Verdana"/>
                <w:sz w:val="20"/>
                <w:szCs w:val="20"/>
                <w:lang w:eastAsia="en-GB"/>
              </w:rPr>
            </w:pPr>
            <w:r w:rsidRPr="00042F16">
              <w:rPr>
                <w:rFonts w:ascii="Verdana" w:hAnsi="Verdana"/>
                <w:sz w:val="20"/>
                <w:szCs w:val="20"/>
                <w:lang w:eastAsia="en-GB"/>
              </w:rPr>
              <w:t>Asset outflows risk</w:t>
            </w:r>
          </w:p>
        </w:tc>
        <w:tc>
          <w:tcPr>
            <w:tcW w:w="2497" w:type="pct"/>
            <w:tcBorders>
              <w:top w:val="nil"/>
              <w:left w:val="nil"/>
              <w:bottom w:val="nil"/>
              <w:right w:val="single" w:sz="8" w:space="0" w:color="auto"/>
            </w:tcBorders>
            <w:shd w:val="clear" w:color="auto" w:fill="auto"/>
            <w:noWrap/>
            <w:vAlign w:val="center"/>
          </w:tcPr>
          <w:p w14:paraId="5B4DB0EC" w14:textId="5E672E0F"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36903B8E" w14:textId="77777777" w:rsidTr="007E7755">
        <w:trPr>
          <w:trHeight w:val="300"/>
        </w:trPr>
        <w:tc>
          <w:tcPr>
            <w:tcW w:w="2503" w:type="pct"/>
            <w:tcBorders>
              <w:top w:val="nil"/>
              <w:left w:val="single" w:sz="8" w:space="0" w:color="auto"/>
              <w:bottom w:val="nil"/>
              <w:right w:val="nil"/>
            </w:tcBorders>
            <w:shd w:val="clear" w:color="auto" w:fill="auto"/>
            <w:noWrap/>
            <w:vAlign w:val="bottom"/>
          </w:tcPr>
          <w:p w14:paraId="01860423" w14:textId="653AC33B" w:rsidR="006F296A" w:rsidRPr="00042F16" w:rsidRDefault="00BA1459" w:rsidP="00563B2C">
            <w:pPr>
              <w:spacing w:after="0" w:line="240" w:lineRule="auto"/>
              <w:rPr>
                <w:rFonts w:ascii="Verdana" w:hAnsi="Verdana"/>
                <w:sz w:val="20"/>
                <w:szCs w:val="20"/>
                <w:lang w:eastAsia="en-GB"/>
              </w:rPr>
            </w:pPr>
            <w:r w:rsidRPr="00042F16">
              <w:rPr>
                <w:rFonts w:ascii="Verdana" w:hAnsi="Verdana"/>
                <w:sz w:val="20"/>
                <w:szCs w:val="20"/>
                <w:lang w:eastAsia="en-GB"/>
              </w:rPr>
              <w:t>Compliance</w:t>
            </w:r>
            <w:r w:rsidR="006F296A" w:rsidRPr="00042F16">
              <w:rPr>
                <w:rFonts w:ascii="Verdana" w:hAnsi="Verdana"/>
                <w:sz w:val="20"/>
                <w:szCs w:val="20"/>
                <w:lang w:eastAsia="en-GB"/>
              </w:rPr>
              <w:t xml:space="preserve"> risk</w:t>
            </w:r>
          </w:p>
        </w:tc>
        <w:tc>
          <w:tcPr>
            <w:tcW w:w="2497" w:type="pct"/>
            <w:tcBorders>
              <w:top w:val="nil"/>
              <w:left w:val="nil"/>
              <w:bottom w:val="nil"/>
              <w:right w:val="single" w:sz="8" w:space="0" w:color="auto"/>
            </w:tcBorders>
            <w:shd w:val="clear" w:color="auto" w:fill="auto"/>
            <w:noWrap/>
            <w:vAlign w:val="center"/>
          </w:tcPr>
          <w:p w14:paraId="0D59514A" w14:textId="08EFA9E6"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6F296A" w:rsidRPr="00042F16" w14:paraId="5AFACA08" w14:textId="77777777" w:rsidTr="007E7755">
        <w:trPr>
          <w:trHeight w:val="315"/>
        </w:trPr>
        <w:tc>
          <w:tcPr>
            <w:tcW w:w="2503" w:type="pct"/>
            <w:tcBorders>
              <w:top w:val="nil"/>
              <w:left w:val="single" w:sz="8" w:space="0" w:color="auto"/>
              <w:bottom w:val="nil"/>
              <w:right w:val="nil"/>
            </w:tcBorders>
            <w:shd w:val="clear" w:color="auto" w:fill="auto"/>
            <w:noWrap/>
            <w:vAlign w:val="bottom"/>
          </w:tcPr>
          <w:p w14:paraId="56499A5A" w14:textId="6B9E31AC" w:rsidR="006F296A" w:rsidRPr="00042F16" w:rsidRDefault="00BA1459" w:rsidP="00563B2C">
            <w:pPr>
              <w:spacing w:after="0" w:line="240" w:lineRule="auto"/>
              <w:rPr>
                <w:rFonts w:ascii="Verdana" w:hAnsi="Verdana"/>
                <w:sz w:val="20"/>
                <w:szCs w:val="20"/>
                <w:lang w:eastAsia="en-GB"/>
              </w:rPr>
            </w:pPr>
            <w:r w:rsidRPr="00042F16">
              <w:rPr>
                <w:rFonts w:ascii="Verdana" w:hAnsi="Verdana"/>
                <w:sz w:val="20"/>
                <w:szCs w:val="20"/>
                <w:lang w:eastAsia="en-GB"/>
              </w:rPr>
              <w:t>Legal</w:t>
            </w:r>
            <w:r w:rsidR="006F296A" w:rsidRPr="00042F16">
              <w:rPr>
                <w:rFonts w:ascii="Verdana" w:hAnsi="Verdana"/>
                <w:sz w:val="20"/>
                <w:szCs w:val="20"/>
                <w:lang w:eastAsia="en-GB"/>
              </w:rPr>
              <w:t xml:space="preserve"> risk</w:t>
            </w:r>
          </w:p>
        </w:tc>
        <w:tc>
          <w:tcPr>
            <w:tcW w:w="2497" w:type="pct"/>
            <w:tcBorders>
              <w:top w:val="nil"/>
              <w:left w:val="nil"/>
              <w:bottom w:val="nil"/>
              <w:right w:val="single" w:sz="8" w:space="0" w:color="auto"/>
            </w:tcBorders>
            <w:shd w:val="clear" w:color="auto" w:fill="auto"/>
            <w:noWrap/>
            <w:vAlign w:val="center"/>
          </w:tcPr>
          <w:p w14:paraId="60B35618" w14:textId="5B5DE928" w:rsidR="006F296A"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r w:rsidR="00BA1459" w:rsidRPr="00042F16" w14:paraId="78AB7A25" w14:textId="77777777" w:rsidTr="007E7755">
        <w:trPr>
          <w:trHeight w:val="315"/>
        </w:trPr>
        <w:tc>
          <w:tcPr>
            <w:tcW w:w="2503" w:type="pct"/>
            <w:tcBorders>
              <w:top w:val="nil"/>
              <w:left w:val="single" w:sz="8" w:space="0" w:color="auto"/>
              <w:bottom w:val="single" w:sz="8" w:space="0" w:color="auto"/>
              <w:right w:val="nil"/>
            </w:tcBorders>
            <w:shd w:val="clear" w:color="auto" w:fill="auto"/>
            <w:noWrap/>
            <w:vAlign w:val="bottom"/>
          </w:tcPr>
          <w:p w14:paraId="2228152F" w14:textId="56641CB2" w:rsidR="00BA1459" w:rsidRPr="00042F16" w:rsidRDefault="00BA1459" w:rsidP="00563B2C">
            <w:pPr>
              <w:spacing w:after="0" w:line="240" w:lineRule="auto"/>
              <w:rPr>
                <w:rFonts w:ascii="Verdana" w:hAnsi="Verdana"/>
                <w:sz w:val="20"/>
                <w:szCs w:val="20"/>
                <w:lang w:eastAsia="en-GB"/>
              </w:rPr>
            </w:pPr>
            <w:r w:rsidRPr="00042F16">
              <w:rPr>
                <w:rFonts w:ascii="Verdana" w:hAnsi="Verdana"/>
                <w:sz w:val="20"/>
                <w:szCs w:val="20"/>
                <w:lang w:eastAsia="en-GB"/>
              </w:rPr>
              <w:t xml:space="preserve">Business &amp; Strategy risk </w:t>
            </w:r>
          </w:p>
        </w:tc>
        <w:tc>
          <w:tcPr>
            <w:tcW w:w="2497" w:type="pct"/>
            <w:tcBorders>
              <w:top w:val="nil"/>
              <w:left w:val="nil"/>
              <w:bottom w:val="single" w:sz="8" w:space="0" w:color="auto"/>
              <w:right w:val="single" w:sz="8" w:space="0" w:color="auto"/>
            </w:tcBorders>
            <w:shd w:val="clear" w:color="auto" w:fill="auto"/>
            <w:noWrap/>
            <w:vAlign w:val="center"/>
          </w:tcPr>
          <w:p w14:paraId="76C1822A" w14:textId="196F95AC" w:rsidR="00BA1459" w:rsidRPr="00042F16" w:rsidRDefault="00BA1459" w:rsidP="00563B2C">
            <w:pPr>
              <w:spacing w:after="0" w:line="240" w:lineRule="auto"/>
              <w:jc w:val="center"/>
              <w:rPr>
                <w:rFonts w:ascii="Verdana" w:hAnsi="Verdana"/>
                <w:sz w:val="20"/>
                <w:szCs w:val="20"/>
                <w:lang w:eastAsia="en-GB"/>
              </w:rPr>
            </w:pPr>
            <w:r w:rsidRPr="00042F16">
              <w:rPr>
                <w:rFonts w:ascii="Verdana" w:hAnsi="Verdana"/>
                <w:sz w:val="20"/>
                <w:szCs w:val="20"/>
                <w:lang w:eastAsia="en-GB"/>
              </w:rPr>
              <w:t>Pillar II global risk</w:t>
            </w:r>
          </w:p>
        </w:tc>
      </w:tr>
    </w:tbl>
    <w:p w14:paraId="7EFCC7FC" w14:textId="77777777" w:rsidR="009F5E59" w:rsidRPr="00042F16" w:rsidRDefault="009F5E59" w:rsidP="00563B2C">
      <w:pPr>
        <w:spacing w:after="0" w:line="240" w:lineRule="auto"/>
        <w:rPr>
          <w:rFonts w:ascii="Verdana" w:hAnsi="Verdana"/>
          <w:sz w:val="20"/>
          <w:szCs w:val="20"/>
        </w:rPr>
      </w:pPr>
    </w:p>
    <w:p w14:paraId="3D92340E" w14:textId="0147C1A2" w:rsidR="00866002" w:rsidRDefault="00BA1459" w:rsidP="005B0625">
      <w:pPr>
        <w:spacing w:after="0" w:line="240" w:lineRule="auto"/>
        <w:rPr>
          <w:rFonts w:ascii="Verdana" w:hAnsi="Verdana"/>
          <w:sz w:val="20"/>
          <w:szCs w:val="20"/>
        </w:rPr>
      </w:pPr>
      <w:r w:rsidRPr="00042F16">
        <w:rPr>
          <w:rFonts w:ascii="Verdana" w:hAnsi="Verdana"/>
          <w:sz w:val="20"/>
          <w:szCs w:val="20"/>
        </w:rPr>
        <w:t>Please note that further information on the identified risks, related capital requirements and risk management techniques are provided in Section 6 “Inventory of risks” below.</w:t>
      </w:r>
    </w:p>
    <w:p w14:paraId="38DC25CA" w14:textId="77777777" w:rsidR="005B0625" w:rsidRPr="00042F16" w:rsidRDefault="005B0625" w:rsidP="005B0625">
      <w:pPr>
        <w:spacing w:after="0" w:line="240" w:lineRule="auto"/>
        <w:rPr>
          <w:rFonts w:ascii="Verdana" w:eastAsiaTheme="majorEastAsia" w:hAnsi="Verdana" w:cstheme="majorBidi"/>
          <w:color w:val="C00000"/>
          <w:sz w:val="20"/>
          <w:szCs w:val="20"/>
        </w:rPr>
      </w:pPr>
    </w:p>
    <w:p w14:paraId="351D7878" w14:textId="498A870D" w:rsidR="00BA1459" w:rsidRPr="005B0625" w:rsidRDefault="00BA1459" w:rsidP="00563B2C">
      <w:pPr>
        <w:pStyle w:val="Heading1"/>
        <w:spacing w:before="0" w:after="0" w:line="240" w:lineRule="auto"/>
        <w:ind w:left="567" w:hanging="567"/>
        <w:rPr>
          <w:rFonts w:ascii="Verdana" w:hAnsi="Verdana"/>
          <w:b/>
          <w:color w:val="6CACE4"/>
          <w:sz w:val="24"/>
          <w:szCs w:val="24"/>
          <w:u w:val="single"/>
        </w:rPr>
      </w:pPr>
      <w:bookmarkStart w:id="49" w:name="_Toc22716590"/>
      <w:r w:rsidRPr="005B0625">
        <w:rPr>
          <w:rFonts w:ascii="Verdana" w:hAnsi="Verdana"/>
          <w:b/>
          <w:color w:val="6CACE4"/>
          <w:sz w:val="24"/>
          <w:szCs w:val="24"/>
          <w:u w:val="single"/>
        </w:rPr>
        <w:t>Capital buffers (Art.440 CRR)</w:t>
      </w:r>
      <w:bookmarkEnd w:id="49"/>
    </w:p>
    <w:p w14:paraId="5AF6FE0C" w14:textId="77777777" w:rsidR="00563B2C" w:rsidRPr="00563B2C" w:rsidRDefault="00563B2C" w:rsidP="00563B2C">
      <w:pPr>
        <w:spacing w:after="0" w:line="240" w:lineRule="auto"/>
      </w:pPr>
    </w:p>
    <w:p w14:paraId="6695CB29" w14:textId="33617AA6" w:rsidR="001D4134" w:rsidRPr="00042F16" w:rsidRDefault="001D4134" w:rsidP="00563B2C">
      <w:pPr>
        <w:spacing w:after="0" w:line="240" w:lineRule="auto"/>
        <w:rPr>
          <w:rFonts w:ascii="Verdana" w:hAnsi="Verdana"/>
          <w:sz w:val="20"/>
          <w:szCs w:val="20"/>
        </w:rPr>
      </w:pPr>
      <w:r w:rsidRPr="00042F16">
        <w:rPr>
          <w:rFonts w:ascii="Verdana" w:hAnsi="Verdana"/>
          <w:sz w:val="20"/>
          <w:szCs w:val="20"/>
        </w:rPr>
        <w:t>According to Article 440 (1)(a) and (b) the Financial Institution has to disclose its compliance with the requirement for a countercyclical buffer referred to in Title VII, Chapter 4 of EU 2013/36.</w:t>
      </w:r>
    </w:p>
    <w:p w14:paraId="7540ADA2" w14:textId="77777777" w:rsidR="005B0625" w:rsidRDefault="005B0625" w:rsidP="00042F16">
      <w:pPr>
        <w:spacing w:after="0" w:line="240" w:lineRule="auto"/>
        <w:rPr>
          <w:rFonts w:ascii="Verdana" w:hAnsi="Verdana"/>
          <w:sz w:val="20"/>
          <w:szCs w:val="20"/>
        </w:rPr>
      </w:pPr>
    </w:p>
    <w:p w14:paraId="38E20604" w14:textId="269DC231" w:rsidR="001415D1" w:rsidRDefault="001D4134" w:rsidP="00042F16">
      <w:pPr>
        <w:spacing w:after="0" w:line="240" w:lineRule="auto"/>
        <w:rPr>
          <w:rFonts w:ascii="Verdana" w:hAnsi="Verdana"/>
          <w:sz w:val="20"/>
          <w:szCs w:val="20"/>
        </w:rPr>
      </w:pPr>
      <w:r w:rsidRPr="00042F16">
        <w:rPr>
          <w:rFonts w:ascii="Verdana" w:hAnsi="Verdana"/>
          <w:sz w:val="20"/>
          <w:szCs w:val="20"/>
        </w:rPr>
        <w:t>Qualifying as small and medium-sized enterprise as per Article 59-1(1) of the Law of 5 April 1993 on the financial sector, the Company is exempted from the requirement to maintain a countercyclical capital buffer and a capital conservation buffer</w:t>
      </w:r>
      <w:r w:rsidR="00694E09" w:rsidRPr="00042F16">
        <w:rPr>
          <w:rFonts w:ascii="Verdana" w:hAnsi="Verdana"/>
          <w:sz w:val="20"/>
          <w:szCs w:val="20"/>
        </w:rPr>
        <w:t xml:space="preserve">. </w:t>
      </w:r>
    </w:p>
    <w:p w14:paraId="0D2F93AB" w14:textId="77777777" w:rsidR="005B0625" w:rsidRPr="00042F16" w:rsidRDefault="005B0625" w:rsidP="005B0625">
      <w:pPr>
        <w:spacing w:after="0" w:line="240" w:lineRule="auto"/>
        <w:rPr>
          <w:rFonts w:ascii="Verdana" w:hAnsi="Verdana"/>
          <w:color w:val="7D7D7D" w:themeColor="text2"/>
          <w:sz w:val="20"/>
          <w:szCs w:val="20"/>
        </w:rPr>
      </w:pPr>
    </w:p>
    <w:p w14:paraId="11D04B34" w14:textId="75D4FD01" w:rsidR="00E81346" w:rsidRPr="005B0625" w:rsidRDefault="001415D1" w:rsidP="005B0625">
      <w:pPr>
        <w:pStyle w:val="Heading1"/>
        <w:spacing w:before="0" w:after="0" w:line="240" w:lineRule="auto"/>
        <w:ind w:left="567" w:hanging="567"/>
        <w:rPr>
          <w:rFonts w:ascii="Verdana" w:hAnsi="Verdana"/>
          <w:b/>
          <w:color w:val="6CACE4"/>
          <w:sz w:val="24"/>
          <w:szCs w:val="24"/>
          <w:u w:val="single"/>
        </w:rPr>
      </w:pPr>
      <w:bookmarkStart w:id="50" w:name="_Toc22716591"/>
      <w:r w:rsidRPr="005B0625">
        <w:rPr>
          <w:rFonts w:ascii="Verdana" w:hAnsi="Verdana"/>
          <w:b/>
          <w:color w:val="6CACE4"/>
          <w:sz w:val="24"/>
          <w:szCs w:val="24"/>
          <w:u w:val="single"/>
        </w:rPr>
        <w:t>Inventory of risks</w:t>
      </w:r>
      <w:bookmarkEnd w:id="50"/>
    </w:p>
    <w:p w14:paraId="4D5207A0" w14:textId="77777777" w:rsidR="005B0625" w:rsidRPr="005B0625" w:rsidRDefault="005B0625" w:rsidP="005B0625">
      <w:pPr>
        <w:spacing w:after="0" w:line="240" w:lineRule="auto"/>
        <w:ind w:left="567" w:hanging="567"/>
        <w:rPr>
          <w:b/>
          <w:color w:val="6CACE4"/>
        </w:rPr>
      </w:pPr>
    </w:p>
    <w:p w14:paraId="06FB0C1F" w14:textId="58C55F6B" w:rsidR="001415D1" w:rsidRPr="005B0625" w:rsidRDefault="001415D1" w:rsidP="005B0625">
      <w:pPr>
        <w:pStyle w:val="Heading2"/>
        <w:spacing w:before="0" w:line="240" w:lineRule="auto"/>
        <w:ind w:left="567" w:hanging="567"/>
        <w:rPr>
          <w:rFonts w:ascii="Verdana" w:hAnsi="Verdana"/>
          <w:b/>
          <w:color w:val="6CACE4"/>
          <w:sz w:val="22"/>
          <w:szCs w:val="22"/>
        </w:rPr>
      </w:pPr>
      <w:bookmarkStart w:id="51" w:name="_Toc22716592"/>
      <w:r w:rsidRPr="005B0625">
        <w:rPr>
          <w:rFonts w:ascii="Verdana" w:hAnsi="Verdana"/>
          <w:b/>
          <w:color w:val="6CACE4"/>
          <w:sz w:val="22"/>
          <w:szCs w:val="22"/>
        </w:rPr>
        <w:t>Credit risks (Art. 442 of CRR)</w:t>
      </w:r>
      <w:bookmarkEnd w:id="51"/>
    </w:p>
    <w:p w14:paraId="36802A1D" w14:textId="77777777" w:rsidR="005B0625" w:rsidRPr="005B0625" w:rsidRDefault="005B0625" w:rsidP="005B0625">
      <w:pPr>
        <w:spacing w:after="0" w:line="240" w:lineRule="auto"/>
        <w:ind w:left="567" w:hanging="567"/>
        <w:rPr>
          <w:b/>
          <w:color w:val="6CACE4"/>
        </w:rPr>
      </w:pPr>
    </w:p>
    <w:p w14:paraId="34000979" w14:textId="7EA31574" w:rsidR="0086699A" w:rsidRPr="005B0625" w:rsidRDefault="005B0625" w:rsidP="005B0625">
      <w:pPr>
        <w:pStyle w:val="Heading3"/>
        <w:spacing w:before="0" w:line="240" w:lineRule="auto"/>
        <w:ind w:left="567" w:hanging="567"/>
        <w:rPr>
          <w:rFonts w:ascii="Verdana" w:hAnsi="Verdana"/>
          <w:b/>
          <w:color w:val="6CACE4"/>
          <w:sz w:val="22"/>
          <w:szCs w:val="22"/>
        </w:rPr>
      </w:pPr>
      <w:bookmarkStart w:id="52" w:name="_Toc22716593"/>
      <w:r>
        <w:rPr>
          <w:rFonts w:ascii="Verdana" w:hAnsi="Verdana"/>
          <w:b/>
          <w:color w:val="6CACE4"/>
          <w:sz w:val="22"/>
          <w:szCs w:val="22"/>
        </w:rPr>
        <w:t xml:space="preserve"> </w:t>
      </w:r>
      <w:r w:rsidR="0086699A" w:rsidRPr="005B0625">
        <w:rPr>
          <w:rFonts w:ascii="Verdana" w:hAnsi="Verdana"/>
          <w:b/>
          <w:color w:val="6CACE4"/>
          <w:sz w:val="22"/>
          <w:szCs w:val="22"/>
        </w:rPr>
        <w:t>Credit risk management framework</w:t>
      </w:r>
      <w:bookmarkEnd w:id="52"/>
    </w:p>
    <w:p w14:paraId="7C017F4C" w14:textId="77777777" w:rsidR="005B0625" w:rsidRPr="005B0625" w:rsidRDefault="005B0625" w:rsidP="005B0625">
      <w:pPr>
        <w:spacing w:after="0" w:line="240" w:lineRule="auto"/>
      </w:pPr>
    </w:p>
    <w:p w14:paraId="0B4CBD56" w14:textId="41A34782" w:rsidR="00AE03A6" w:rsidRPr="00042F16" w:rsidRDefault="006D6F82" w:rsidP="005B0625">
      <w:pPr>
        <w:spacing w:after="0" w:line="240" w:lineRule="auto"/>
        <w:rPr>
          <w:rFonts w:ascii="Verdana" w:hAnsi="Verdana"/>
          <w:sz w:val="20"/>
          <w:szCs w:val="20"/>
        </w:rPr>
      </w:pPr>
      <w:r w:rsidRPr="00042F16">
        <w:rPr>
          <w:rFonts w:ascii="Verdana" w:hAnsi="Verdana"/>
          <w:sz w:val="20"/>
          <w:szCs w:val="20"/>
        </w:rPr>
        <w:t>Credit risk is the risk that a third party does not meet its obligations in accordance with the agreed terms.</w:t>
      </w:r>
      <w:r w:rsidR="0017313E" w:rsidRPr="00042F16">
        <w:rPr>
          <w:rFonts w:ascii="Verdana" w:hAnsi="Verdana"/>
          <w:sz w:val="20"/>
          <w:szCs w:val="20"/>
        </w:rPr>
        <w:t xml:space="preserve"> </w:t>
      </w:r>
      <w:r w:rsidR="00B91C80" w:rsidRPr="00042F16">
        <w:rPr>
          <w:rFonts w:ascii="Verdana" w:hAnsi="Verdana"/>
          <w:sz w:val="20"/>
          <w:szCs w:val="20"/>
        </w:rPr>
        <w:t xml:space="preserve">Acting as an investment firm, </w:t>
      </w:r>
      <w:r w:rsidR="00DF0FC6" w:rsidRPr="00042F16">
        <w:rPr>
          <w:rFonts w:ascii="Verdana" w:hAnsi="Verdana"/>
          <w:sz w:val="20"/>
          <w:szCs w:val="20"/>
        </w:rPr>
        <w:t>t</w:t>
      </w:r>
      <w:r w:rsidR="002F2ED1" w:rsidRPr="00042F16">
        <w:rPr>
          <w:rFonts w:ascii="Verdana" w:hAnsi="Verdana"/>
          <w:sz w:val="20"/>
          <w:szCs w:val="20"/>
        </w:rPr>
        <w:t>he Company</w:t>
      </w:r>
      <w:r w:rsidR="00B91C80" w:rsidRPr="00042F16">
        <w:rPr>
          <w:rFonts w:ascii="Verdana" w:hAnsi="Verdana"/>
          <w:sz w:val="20"/>
          <w:szCs w:val="20"/>
        </w:rPr>
        <w:t xml:space="preserve"> does not have an activity of credit</w:t>
      </w:r>
      <w:r w:rsidR="0017313E" w:rsidRPr="00042F16">
        <w:rPr>
          <w:rFonts w:ascii="Verdana" w:hAnsi="Verdana"/>
          <w:sz w:val="20"/>
          <w:szCs w:val="20"/>
        </w:rPr>
        <w:t xml:space="preserve"> lending and is not exposed to a credit risk as high as banks</w:t>
      </w:r>
      <w:r w:rsidR="00B91C80" w:rsidRPr="00042F16">
        <w:rPr>
          <w:rFonts w:ascii="Verdana" w:hAnsi="Verdana"/>
          <w:sz w:val="20"/>
          <w:szCs w:val="20"/>
        </w:rPr>
        <w:t>.</w:t>
      </w:r>
      <w:r w:rsidR="007834C4" w:rsidRPr="00042F16">
        <w:rPr>
          <w:rFonts w:ascii="Verdana" w:hAnsi="Verdana"/>
          <w:sz w:val="20"/>
          <w:szCs w:val="20"/>
        </w:rPr>
        <w:t xml:space="preserve"> </w:t>
      </w:r>
    </w:p>
    <w:p w14:paraId="50451391" w14:textId="77777777" w:rsidR="005B0625" w:rsidRDefault="005B0625" w:rsidP="005B0625">
      <w:pPr>
        <w:spacing w:after="0" w:line="240" w:lineRule="auto"/>
        <w:rPr>
          <w:rFonts w:ascii="Verdana" w:hAnsi="Verdana"/>
          <w:sz w:val="20"/>
          <w:szCs w:val="20"/>
        </w:rPr>
      </w:pPr>
    </w:p>
    <w:p w14:paraId="56EC1A38" w14:textId="32F266D7" w:rsidR="006D6F82" w:rsidRDefault="00AE03A6" w:rsidP="005B0625">
      <w:pPr>
        <w:spacing w:after="0" w:line="240" w:lineRule="auto"/>
        <w:rPr>
          <w:rFonts w:ascii="Verdana" w:hAnsi="Verdana"/>
          <w:sz w:val="20"/>
          <w:szCs w:val="20"/>
        </w:rPr>
      </w:pPr>
      <w:r w:rsidRPr="00042F16">
        <w:rPr>
          <w:rFonts w:ascii="Verdana" w:hAnsi="Verdana"/>
          <w:sz w:val="20"/>
          <w:szCs w:val="20"/>
        </w:rPr>
        <w:t>Credit risk for the Company consists in the risk of default from its counterparts</w:t>
      </w:r>
      <w:r w:rsidR="0017313E" w:rsidRPr="00042F16">
        <w:rPr>
          <w:rFonts w:ascii="Verdana" w:hAnsi="Verdana"/>
          <w:sz w:val="20"/>
          <w:szCs w:val="20"/>
        </w:rPr>
        <w:t>.</w:t>
      </w:r>
      <w:r w:rsidRPr="00042F16">
        <w:rPr>
          <w:rFonts w:ascii="Verdana" w:hAnsi="Verdana"/>
          <w:sz w:val="20"/>
          <w:szCs w:val="20"/>
        </w:rPr>
        <w:t xml:space="preserve"> The risk is however deemed sufficiently mitigated</w:t>
      </w:r>
      <w:r w:rsidR="003C5C14" w:rsidRPr="00042F16">
        <w:rPr>
          <w:rFonts w:ascii="Verdana" w:hAnsi="Verdana"/>
          <w:sz w:val="20"/>
          <w:szCs w:val="20"/>
        </w:rPr>
        <w:t xml:space="preserve"> by virtue of mitigating measures in place </w:t>
      </w:r>
      <w:r w:rsidR="0017313E" w:rsidRPr="00042F16">
        <w:rPr>
          <w:rFonts w:ascii="Verdana" w:hAnsi="Verdana"/>
          <w:sz w:val="20"/>
          <w:szCs w:val="20"/>
        </w:rPr>
        <w:t>at different level</w:t>
      </w:r>
      <w:r w:rsidR="003C5C14" w:rsidRPr="00042F16">
        <w:rPr>
          <w:rFonts w:ascii="Verdana" w:hAnsi="Verdana"/>
          <w:sz w:val="20"/>
          <w:szCs w:val="20"/>
        </w:rPr>
        <w:t>s</w:t>
      </w:r>
      <w:r w:rsidR="0017313E" w:rsidRPr="00042F16">
        <w:rPr>
          <w:rFonts w:ascii="Verdana" w:hAnsi="Verdana"/>
          <w:sz w:val="20"/>
          <w:szCs w:val="20"/>
        </w:rPr>
        <w:t xml:space="preserve"> of the </w:t>
      </w:r>
      <w:r w:rsidR="003C5C14" w:rsidRPr="00042F16">
        <w:rPr>
          <w:rFonts w:ascii="Verdana" w:hAnsi="Verdana"/>
          <w:sz w:val="20"/>
          <w:szCs w:val="20"/>
        </w:rPr>
        <w:t>C</w:t>
      </w:r>
      <w:r w:rsidR="0017313E" w:rsidRPr="00042F16">
        <w:rPr>
          <w:rFonts w:ascii="Verdana" w:hAnsi="Verdana"/>
          <w:sz w:val="20"/>
          <w:szCs w:val="20"/>
        </w:rPr>
        <w:t>ompany:</w:t>
      </w:r>
    </w:p>
    <w:p w14:paraId="2F48F5B1" w14:textId="77777777" w:rsidR="0060275C" w:rsidRPr="00042F16" w:rsidRDefault="0060275C" w:rsidP="005B0625">
      <w:pPr>
        <w:spacing w:after="0" w:line="240" w:lineRule="auto"/>
        <w:rPr>
          <w:rFonts w:ascii="Verdana" w:hAnsi="Verdana"/>
          <w:sz w:val="20"/>
          <w:szCs w:val="20"/>
        </w:rPr>
      </w:pPr>
    </w:p>
    <w:p w14:paraId="6C817478" w14:textId="1AC7E772" w:rsidR="006D6F82" w:rsidRDefault="006D6F82" w:rsidP="005B0625">
      <w:pPr>
        <w:pStyle w:val="ListParagraph"/>
        <w:numPr>
          <w:ilvl w:val="0"/>
          <w:numId w:val="9"/>
        </w:numPr>
        <w:spacing w:after="0" w:line="240" w:lineRule="auto"/>
        <w:rPr>
          <w:rFonts w:ascii="Verdana" w:hAnsi="Verdana"/>
          <w:sz w:val="20"/>
          <w:szCs w:val="20"/>
        </w:rPr>
      </w:pPr>
      <w:r w:rsidRPr="00042F16">
        <w:rPr>
          <w:rFonts w:ascii="Verdana" w:hAnsi="Verdana"/>
          <w:sz w:val="20"/>
          <w:szCs w:val="20"/>
        </w:rPr>
        <w:t xml:space="preserve">At </w:t>
      </w:r>
      <w:r w:rsidR="003C5C14" w:rsidRPr="00042F16">
        <w:rPr>
          <w:rFonts w:ascii="Verdana" w:hAnsi="Verdana"/>
          <w:sz w:val="20"/>
          <w:szCs w:val="20"/>
          <w:u w:val="single"/>
        </w:rPr>
        <w:t>C</w:t>
      </w:r>
      <w:r w:rsidRPr="00042F16">
        <w:rPr>
          <w:rFonts w:ascii="Verdana" w:hAnsi="Verdana"/>
          <w:sz w:val="20"/>
          <w:szCs w:val="20"/>
          <w:u w:val="single"/>
        </w:rPr>
        <w:t>ompany</w:t>
      </w:r>
      <w:r w:rsidR="00CE6602" w:rsidRPr="00042F16">
        <w:rPr>
          <w:rFonts w:ascii="Verdana" w:hAnsi="Verdana"/>
          <w:sz w:val="20"/>
          <w:szCs w:val="20"/>
          <w:u w:val="single"/>
        </w:rPr>
        <w:t>’s</w:t>
      </w:r>
      <w:r w:rsidRPr="00042F16">
        <w:rPr>
          <w:rFonts w:ascii="Verdana" w:hAnsi="Verdana"/>
          <w:sz w:val="20"/>
          <w:szCs w:val="20"/>
          <w:u w:val="single"/>
        </w:rPr>
        <w:t xml:space="preserve"> level</w:t>
      </w:r>
      <w:r w:rsidRPr="00042F16">
        <w:rPr>
          <w:rFonts w:ascii="Verdana" w:hAnsi="Verdana"/>
          <w:sz w:val="20"/>
          <w:szCs w:val="20"/>
        </w:rPr>
        <w:t xml:space="preserve">, the main credit lines are opened with </w:t>
      </w:r>
      <w:r w:rsidR="00DF0FC6" w:rsidRPr="00042F16">
        <w:rPr>
          <w:rFonts w:ascii="Verdana" w:hAnsi="Verdana"/>
          <w:sz w:val="20"/>
          <w:szCs w:val="20"/>
        </w:rPr>
        <w:t>t</w:t>
      </w:r>
      <w:r w:rsidR="002F2ED1" w:rsidRPr="00042F16">
        <w:rPr>
          <w:rFonts w:ascii="Verdana" w:hAnsi="Verdana"/>
          <w:sz w:val="20"/>
          <w:szCs w:val="20"/>
        </w:rPr>
        <w:t>he Company</w:t>
      </w:r>
      <w:r w:rsidR="009C1497" w:rsidRPr="00042F16">
        <w:rPr>
          <w:rFonts w:ascii="Verdana" w:hAnsi="Verdana"/>
          <w:sz w:val="20"/>
          <w:szCs w:val="20"/>
        </w:rPr>
        <w:t xml:space="preserve"> own</w:t>
      </w:r>
      <w:r w:rsidRPr="00042F16">
        <w:rPr>
          <w:rFonts w:ascii="Verdana" w:hAnsi="Verdana"/>
          <w:sz w:val="20"/>
          <w:szCs w:val="20"/>
        </w:rPr>
        <w:t xml:space="preserve"> </w:t>
      </w:r>
      <w:r w:rsidR="009C1497" w:rsidRPr="00042F16">
        <w:rPr>
          <w:rFonts w:ascii="Verdana" w:hAnsi="Verdana"/>
          <w:sz w:val="20"/>
          <w:szCs w:val="20"/>
        </w:rPr>
        <w:t>f</w:t>
      </w:r>
      <w:r w:rsidRPr="00042F16">
        <w:rPr>
          <w:rFonts w:ascii="Verdana" w:hAnsi="Verdana"/>
          <w:sz w:val="20"/>
          <w:szCs w:val="20"/>
        </w:rPr>
        <w:t xml:space="preserve">unds and controls are regularly performed by the Finance department. </w:t>
      </w:r>
    </w:p>
    <w:p w14:paraId="1D06426C" w14:textId="77777777" w:rsidR="0060275C" w:rsidRPr="00042F16" w:rsidRDefault="0060275C" w:rsidP="0060275C">
      <w:pPr>
        <w:pStyle w:val="ListParagraph"/>
        <w:spacing w:after="0" w:line="240" w:lineRule="auto"/>
        <w:rPr>
          <w:rFonts w:ascii="Verdana" w:hAnsi="Verdana"/>
          <w:sz w:val="20"/>
          <w:szCs w:val="20"/>
        </w:rPr>
      </w:pPr>
    </w:p>
    <w:p w14:paraId="3186AAB9" w14:textId="70383C10" w:rsidR="0016637B" w:rsidRDefault="003C5C14" w:rsidP="005B0625">
      <w:pPr>
        <w:pStyle w:val="ListParagraph"/>
        <w:numPr>
          <w:ilvl w:val="0"/>
          <w:numId w:val="9"/>
        </w:numPr>
        <w:spacing w:after="0" w:line="240" w:lineRule="auto"/>
        <w:rPr>
          <w:rFonts w:ascii="Verdana" w:hAnsi="Verdana"/>
          <w:sz w:val="20"/>
          <w:szCs w:val="20"/>
        </w:rPr>
      </w:pPr>
      <w:r w:rsidRPr="00042F16">
        <w:rPr>
          <w:rFonts w:ascii="Verdana" w:hAnsi="Verdana"/>
          <w:sz w:val="20"/>
          <w:szCs w:val="20"/>
        </w:rPr>
        <w:lastRenderedPageBreak/>
        <w:t>C</w:t>
      </w:r>
      <w:r w:rsidR="006D6F82" w:rsidRPr="00042F16">
        <w:rPr>
          <w:rFonts w:ascii="Verdana" w:hAnsi="Verdana"/>
          <w:sz w:val="20"/>
          <w:szCs w:val="20"/>
        </w:rPr>
        <w:t xml:space="preserve">ontrols are also in place at </w:t>
      </w:r>
      <w:r w:rsidR="006D6F82" w:rsidRPr="00042F16">
        <w:rPr>
          <w:rFonts w:ascii="Verdana" w:hAnsi="Verdana"/>
          <w:sz w:val="20"/>
          <w:szCs w:val="20"/>
          <w:u w:val="single"/>
        </w:rPr>
        <w:t>client and funds level</w:t>
      </w:r>
      <w:r w:rsidR="006D6F82" w:rsidRPr="00042F16">
        <w:rPr>
          <w:rFonts w:ascii="Verdana" w:hAnsi="Verdana"/>
          <w:sz w:val="20"/>
          <w:szCs w:val="20"/>
        </w:rPr>
        <w:t xml:space="preserve">. For instance the management fees </w:t>
      </w:r>
      <w:r w:rsidR="0017313E" w:rsidRPr="00042F16">
        <w:rPr>
          <w:rFonts w:ascii="Verdana" w:hAnsi="Verdana"/>
          <w:sz w:val="20"/>
          <w:szCs w:val="20"/>
        </w:rPr>
        <w:t>due</w:t>
      </w:r>
      <w:r w:rsidR="006D6F82" w:rsidRPr="00042F16">
        <w:rPr>
          <w:rFonts w:ascii="Verdana" w:hAnsi="Verdana"/>
          <w:sz w:val="20"/>
          <w:szCs w:val="20"/>
        </w:rPr>
        <w:t xml:space="preserve"> by the clients are booked in advance, there is a regular monitoring by the Finance department and </w:t>
      </w:r>
      <w:r w:rsidR="0016637B" w:rsidRPr="00042F16">
        <w:rPr>
          <w:rFonts w:ascii="Verdana" w:hAnsi="Verdana"/>
          <w:sz w:val="20"/>
          <w:szCs w:val="20"/>
        </w:rPr>
        <w:t xml:space="preserve">the risk management department controls clients cash debit on a monthly basis. </w:t>
      </w:r>
    </w:p>
    <w:p w14:paraId="607D7B1F" w14:textId="77777777" w:rsidR="005B0625" w:rsidRPr="00042F16" w:rsidRDefault="005B0625" w:rsidP="005B0625">
      <w:pPr>
        <w:pStyle w:val="ListParagraph"/>
        <w:spacing w:after="0" w:line="240" w:lineRule="auto"/>
        <w:rPr>
          <w:rFonts w:ascii="Verdana" w:hAnsi="Verdana"/>
          <w:sz w:val="20"/>
          <w:szCs w:val="20"/>
        </w:rPr>
      </w:pPr>
    </w:p>
    <w:p w14:paraId="502C32F2" w14:textId="517AECCA" w:rsidR="0086699A" w:rsidRPr="005B0625" w:rsidRDefault="005B0625" w:rsidP="005B0625">
      <w:pPr>
        <w:pStyle w:val="Heading3"/>
        <w:spacing w:before="0" w:line="240" w:lineRule="auto"/>
        <w:ind w:left="567" w:hanging="567"/>
        <w:rPr>
          <w:rFonts w:ascii="Verdana" w:hAnsi="Verdana"/>
          <w:b/>
          <w:color w:val="6CACE4"/>
          <w:sz w:val="22"/>
          <w:szCs w:val="22"/>
        </w:rPr>
      </w:pPr>
      <w:bookmarkStart w:id="53" w:name="_Toc22716594"/>
      <w:r>
        <w:rPr>
          <w:rFonts w:ascii="Verdana" w:hAnsi="Verdana"/>
          <w:b/>
          <w:color w:val="6CACE4"/>
          <w:sz w:val="22"/>
          <w:szCs w:val="22"/>
        </w:rPr>
        <w:t xml:space="preserve"> </w:t>
      </w:r>
      <w:r w:rsidR="0086699A" w:rsidRPr="005B0625">
        <w:rPr>
          <w:rFonts w:ascii="Verdana" w:hAnsi="Verdana"/>
          <w:b/>
          <w:color w:val="6CACE4"/>
          <w:sz w:val="22"/>
          <w:szCs w:val="22"/>
        </w:rPr>
        <w:t>Capital requirements for credit risk</w:t>
      </w:r>
      <w:bookmarkEnd w:id="53"/>
    </w:p>
    <w:p w14:paraId="23562127" w14:textId="77777777" w:rsidR="005B0625" w:rsidRPr="005B0625" w:rsidRDefault="005B0625" w:rsidP="005B0625">
      <w:pPr>
        <w:spacing w:after="0" w:line="240" w:lineRule="auto"/>
      </w:pPr>
    </w:p>
    <w:p w14:paraId="38F1E9ED" w14:textId="55079862" w:rsidR="0017313E" w:rsidRDefault="0017313E" w:rsidP="005B0625">
      <w:pPr>
        <w:spacing w:after="0" w:line="240" w:lineRule="auto"/>
        <w:rPr>
          <w:rFonts w:ascii="Verdana" w:hAnsi="Verdana"/>
          <w:sz w:val="20"/>
          <w:szCs w:val="20"/>
        </w:rPr>
      </w:pPr>
      <w:r w:rsidRPr="00042F16">
        <w:rPr>
          <w:rFonts w:ascii="Verdana" w:hAnsi="Verdana"/>
          <w:sz w:val="20"/>
          <w:szCs w:val="20"/>
        </w:rPr>
        <w:t xml:space="preserve">The residual risk (after </w:t>
      </w:r>
      <w:r w:rsidR="0086699A" w:rsidRPr="00042F16">
        <w:rPr>
          <w:rFonts w:ascii="Verdana" w:hAnsi="Verdana"/>
          <w:sz w:val="20"/>
          <w:szCs w:val="20"/>
        </w:rPr>
        <w:t>mitigating control) is</w:t>
      </w:r>
      <w:r w:rsidRPr="00042F16">
        <w:rPr>
          <w:rFonts w:ascii="Verdana" w:hAnsi="Verdana"/>
          <w:sz w:val="20"/>
          <w:szCs w:val="20"/>
        </w:rPr>
        <w:t xml:space="preserve"> insignificant and the estimated frequency of occurrence is very low. For those preceding reasons, no internal capital requirement is needed for credit risk.</w:t>
      </w:r>
    </w:p>
    <w:p w14:paraId="3A429588" w14:textId="77777777" w:rsidR="005B0625" w:rsidRPr="00042F16" w:rsidRDefault="005B0625" w:rsidP="005B0625">
      <w:pPr>
        <w:spacing w:after="0" w:line="240" w:lineRule="auto"/>
        <w:rPr>
          <w:rFonts w:ascii="Verdana" w:hAnsi="Verdana"/>
          <w:sz w:val="20"/>
          <w:szCs w:val="20"/>
        </w:rPr>
      </w:pPr>
    </w:p>
    <w:p w14:paraId="1F6DC557" w14:textId="73DADFB7" w:rsidR="0086699A" w:rsidRPr="005B0625" w:rsidRDefault="005B0625" w:rsidP="005B0625">
      <w:pPr>
        <w:pStyle w:val="Heading3"/>
        <w:spacing w:before="0" w:line="240" w:lineRule="auto"/>
        <w:ind w:left="567" w:hanging="567"/>
        <w:rPr>
          <w:rFonts w:ascii="Verdana" w:hAnsi="Verdana"/>
          <w:b/>
          <w:color w:val="6CACE4"/>
          <w:sz w:val="22"/>
          <w:szCs w:val="22"/>
        </w:rPr>
      </w:pPr>
      <w:bookmarkStart w:id="54" w:name="_Toc22716595"/>
      <w:r>
        <w:rPr>
          <w:rFonts w:ascii="Verdana" w:hAnsi="Verdana"/>
          <w:b/>
          <w:color w:val="6CACE4"/>
          <w:sz w:val="22"/>
          <w:szCs w:val="22"/>
        </w:rPr>
        <w:t xml:space="preserve"> </w:t>
      </w:r>
      <w:r w:rsidR="0086699A" w:rsidRPr="005B0625">
        <w:rPr>
          <w:rFonts w:ascii="Verdana" w:hAnsi="Verdana"/>
          <w:b/>
          <w:color w:val="6CACE4"/>
          <w:sz w:val="22"/>
          <w:szCs w:val="22"/>
        </w:rPr>
        <w:t>Asset portfolio (Art. 438 of CRR)</w:t>
      </w:r>
      <w:bookmarkEnd w:id="54"/>
    </w:p>
    <w:p w14:paraId="48D0F3DF" w14:textId="77777777" w:rsidR="005B0625" w:rsidRPr="005B0625" w:rsidRDefault="005B0625" w:rsidP="005B0625">
      <w:pPr>
        <w:spacing w:after="0" w:line="240" w:lineRule="auto"/>
      </w:pPr>
    </w:p>
    <w:p w14:paraId="7DE47A3E" w14:textId="416FA856" w:rsidR="0086699A" w:rsidRDefault="0086699A" w:rsidP="005B0625">
      <w:pPr>
        <w:spacing w:after="0" w:line="240" w:lineRule="auto"/>
        <w:rPr>
          <w:rFonts w:ascii="Verdana" w:hAnsi="Verdana"/>
          <w:sz w:val="20"/>
          <w:szCs w:val="20"/>
        </w:rPr>
      </w:pPr>
      <w:r w:rsidRPr="00042F16">
        <w:rPr>
          <w:rFonts w:ascii="Verdana" w:hAnsi="Verdana"/>
          <w:sz w:val="20"/>
          <w:szCs w:val="20"/>
        </w:rPr>
        <w:t xml:space="preserve">The total amount of </w:t>
      </w:r>
      <w:r w:rsidR="0060275C">
        <w:rPr>
          <w:rFonts w:ascii="Verdana" w:hAnsi="Verdana"/>
          <w:sz w:val="20"/>
          <w:szCs w:val="20"/>
        </w:rPr>
        <w:t>exposures as of 31 December 2019</w:t>
      </w:r>
      <w:r w:rsidRPr="00042F16">
        <w:rPr>
          <w:rFonts w:ascii="Verdana" w:hAnsi="Verdana"/>
          <w:sz w:val="20"/>
          <w:szCs w:val="20"/>
        </w:rPr>
        <w:t xml:space="preserve"> and the average exposure amount </w:t>
      </w:r>
      <w:r w:rsidR="0060275C">
        <w:rPr>
          <w:rFonts w:ascii="Verdana" w:hAnsi="Verdana"/>
          <w:sz w:val="20"/>
          <w:szCs w:val="20"/>
        </w:rPr>
        <w:t>for the period 2019</w:t>
      </w:r>
      <w:r w:rsidRPr="00042F16">
        <w:rPr>
          <w:rFonts w:ascii="Verdana" w:hAnsi="Verdana"/>
          <w:sz w:val="20"/>
          <w:szCs w:val="20"/>
        </w:rPr>
        <w:t xml:space="preserve"> broken down by exposure classes as well as computing approach are shown in the following table:</w:t>
      </w:r>
    </w:p>
    <w:p w14:paraId="132895AB" w14:textId="77777777" w:rsidR="005B0625" w:rsidRPr="00042F16" w:rsidRDefault="005B0625" w:rsidP="005B0625">
      <w:pPr>
        <w:spacing w:after="0" w:line="240" w:lineRule="auto"/>
        <w:rPr>
          <w:rFonts w:ascii="Verdana" w:hAnsi="Verdana"/>
          <w:sz w:val="20"/>
          <w:szCs w:val="20"/>
        </w:rPr>
      </w:pPr>
    </w:p>
    <w:p w14:paraId="258A226D" w14:textId="55EE85B9" w:rsidR="007D52D2" w:rsidRPr="005B0625" w:rsidRDefault="00851FCD" w:rsidP="005B0625">
      <w:pPr>
        <w:pStyle w:val="Caption"/>
        <w:spacing w:after="0"/>
        <w:rPr>
          <w:rFonts w:ascii="Verdana" w:hAnsi="Verdana"/>
          <w:color w:val="auto"/>
          <w:sz w:val="20"/>
          <w:szCs w:val="20"/>
        </w:rPr>
      </w:pPr>
      <w:bookmarkStart w:id="55" w:name="_Toc22716632"/>
      <w:r w:rsidRPr="005B0625">
        <w:rPr>
          <w:rFonts w:ascii="Verdana" w:hAnsi="Verdana"/>
          <w:color w:val="auto"/>
          <w:sz w:val="20"/>
          <w:szCs w:val="20"/>
        </w:rPr>
        <w:t xml:space="preserve">Table </w:t>
      </w:r>
      <w:r w:rsidRPr="005B0625">
        <w:rPr>
          <w:rFonts w:ascii="Verdana" w:hAnsi="Verdana"/>
          <w:color w:val="auto"/>
          <w:sz w:val="20"/>
          <w:szCs w:val="20"/>
        </w:rPr>
        <w:fldChar w:fldCharType="begin"/>
      </w:r>
      <w:r w:rsidRPr="005B0625">
        <w:rPr>
          <w:rFonts w:ascii="Verdana" w:hAnsi="Verdana"/>
          <w:color w:val="auto"/>
          <w:sz w:val="20"/>
          <w:szCs w:val="20"/>
        </w:rPr>
        <w:instrText xml:space="preserve"> SEQ Table \* ARABIC </w:instrText>
      </w:r>
      <w:r w:rsidRPr="005B0625">
        <w:rPr>
          <w:rFonts w:ascii="Verdana" w:hAnsi="Verdana"/>
          <w:color w:val="auto"/>
          <w:sz w:val="20"/>
          <w:szCs w:val="20"/>
        </w:rPr>
        <w:fldChar w:fldCharType="separate"/>
      </w:r>
      <w:r w:rsidR="00E7065A" w:rsidRPr="005B0625">
        <w:rPr>
          <w:rFonts w:ascii="Verdana" w:hAnsi="Verdana"/>
          <w:noProof/>
          <w:color w:val="auto"/>
          <w:sz w:val="20"/>
          <w:szCs w:val="20"/>
        </w:rPr>
        <w:t>8</w:t>
      </w:r>
      <w:r w:rsidRPr="005B0625">
        <w:rPr>
          <w:rFonts w:ascii="Verdana" w:hAnsi="Verdana"/>
          <w:color w:val="auto"/>
          <w:sz w:val="20"/>
          <w:szCs w:val="20"/>
        </w:rPr>
        <w:fldChar w:fldCharType="end"/>
      </w:r>
      <w:r w:rsidRPr="005B0625">
        <w:rPr>
          <w:rFonts w:ascii="Verdana" w:hAnsi="Verdana"/>
          <w:color w:val="auto"/>
          <w:sz w:val="20"/>
          <w:szCs w:val="20"/>
        </w:rPr>
        <w:t xml:space="preserve"> : </w:t>
      </w:r>
      <w:r w:rsidR="002F2ED1" w:rsidRPr="005B0625">
        <w:rPr>
          <w:rFonts w:ascii="Verdana" w:hAnsi="Verdana"/>
          <w:color w:val="auto"/>
          <w:sz w:val="20"/>
          <w:szCs w:val="20"/>
        </w:rPr>
        <w:t>The Company</w:t>
      </w:r>
      <w:r w:rsidRPr="005B0625">
        <w:rPr>
          <w:rFonts w:ascii="Verdana" w:hAnsi="Verdana"/>
          <w:color w:val="auto"/>
          <w:sz w:val="20"/>
          <w:szCs w:val="20"/>
        </w:rPr>
        <w:t>’s exposure to cre</w:t>
      </w:r>
      <w:r w:rsidR="00821081">
        <w:rPr>
          <w:rFonts w:ascii="Verdana" w:hAnsi="Verdana"/>
          <w:color w:val="auto"/>
          <w:sz w:val="20"/>
          <w:szCs w:val="20"/>
        </w:rPr>
        <w:t>dit risk as of 31 December 201</w:t>
      </w:r>
      <w:r w:rsidR="0060275C">
        <w:rPr>
          <w:rFonts w:ascii="Verdana" w:hAnsi="Verdana"/>
          <w:color w:val="auto"/>
          <w:sz w:val="20"/>
          <w:szCs w:val="20"/>
        </w:rPr>
        <w:t xml:space="preserve">9 </w:t>
      </w:r>
      <w:r w:rsidR="00C966F4">
        <w:rPr>
          <w:rFonts w:ascii="Verdana" w:hAnsi="Verdana"/>
          <w:color w:val="auto"/>
          <w:sz w:val="20"/>
          <w:szCs w:val="20"/>
        </w:rPr>
        <w:t>and 2019</w:t>
      </w:r>
      <w:r w:rsidRPr="005B0625">
        <w:rPr>
          <w:rFonts w:ascii="Verdana" w:hAnsi="Verdana"/>
          <w:color w:val="auto"/>
          <w:sz w:val="20"/>
          <w:szCs w:val="20"/>
        </w:rPr>
        <w:t xml:space="preserve"> average</w:t>
      </w:r>
      <w:bookmarkEnd w:id="55"/>
    </w:p>
    <w:tbl>
      <w:tblPr>
        <w:tblW w:w="5000" w:type="pct"/>
        <w:tblLook w:val="04A0" w:firstRow="1" w:lastRow="0" w:firstColumn="1" w:lastColumn="0" w:noHBand="0" w:noVBand="1"/>
      </w:tblPr>
      <w:tblGrid>
        <w:gridCol w:w="4439"/>
        <w:gridCol w:w="2372"/>
        <w:gridCol w:w="2654"/>
      </w:tblGrid>
      <w:tr w:rsidR="00883CEA" w:rsidRPr="00042F16" w14:paraId="0899F358" w14:textId="77777777" w:rsidTr="005B0625">
        <w:trPr>
          <w:trHeight w:val="576"/>
        </w:trPr>
        <w:tc>
          <w:tcPr>
            <w:tcW w:w="2345" w:type="pct"/>
            <w:tcBorders>
              <w:top w:val="single" w:sz="4" w:space="0" w:color="auto"/>
              <w:left w:val="single" w:sz="4" w:space="0" w:color="auto"/>
              <w:bottom w:val="single" w:sz="4" w:space="0" w:color="auto"/>
              <w:right w:val="single" w:sz="4" w:space="0" w:color="auto"/>
            </w:tcBorders>
            <w:shd w:val="clear" w:color="auto" w:fill="6CACE4"/>
            <w:vAlign w:val="bottom"/>
            <w:hideMark/>
          </w:tcPr>
          <w:p w14:paraId="39C20D40" w14:textId="77777777" w:rsidR="0086699A" w:rsidRPr="00042F16" w:rsidRDefault="0086699A"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(in millions)</w:t>
            </w:r>
          </w:p>
        </w:tc>
        <w:tc>
          <w:tcPr>
            <w:tcW w:w="1253" w:type="pct"/>
            <w:tcBorders>
              <w:top w:val="single" w:sz="4" w:space="0" w:color="auto"/>
              <w:left w:val="single" w:sz="4" w:space="0" w:color="auto"/>
              <w:bottom w:val="single" w:sz="4" w:space="0" w:color="auto"/>
              <w:right w:val="single" w:sz="4" w:space="0" w:color="auto"/>
            </w:tcBorders>
            <w:shd w:val="clear" w:color="auto" w:fill="6CACE4"/>
            <w:vAlign w:val="bottom"/>
            <w:hideMark/>
          </w:tcPr>
          <w:p w14:paraId="64832D3C" w14:textId="77777777" w:rsidR="0086699A" w:rsidRPr="00042F16" w:rsidRDefault="0086699A"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Net exposure at the end of the period</w:t>
            </w:r>
          </w:p>
        </w:tc>
        <w:tc>
          <w:tcPr>
            <w:tcW w:w="1402" w:type="pct"/>
            <w:tcBorders>
              <w:top w:val="single" w:sz="4" w:space="0" w:color="auto"/>
              <w:left w:val="single" w:sz="4" w:space="0" w:color="auto"/>
              <w:bottom w:val="single" w:sz="4" w:space="0" w:color="auto"/>
              <w:right w:val="single" w:sz="4" w:space="0" w:color="auto"/>
            </w:tcBorders>
            <w:shd w:val="clear" w:color="auto" w:fill="6CACE4"/>
            <w:vAlign w:val="bottom"/>
            <w:hideMark/>
          </w:tcPr>
          <w:p w14:paraId="176B4099" w14:textId="77777777" w:rsidR="0086699A" w:rsidRPr="00042F16" w:rsidRDefault="0086699A"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Average net exposure over the period</w:t>
            </w:r>
          </w:p>
        </w:tc>
      </w:tr>
      <w:tr w:rsidR="0086699A" w:rsidRPr="00042F16" w14:paraId="04B97E9E" w14:textId="77777777" w:rsidTr="007E7755">
        <w:trPr>
          <w:trHeight w:val="284"/>
        </w:trPr>
        <w:tc>
          <w:tcPr>
            <w:tcW w:w="2345" w:type="pct"/>
            <w:tcBorders>
              <w:top w:val="nil"/>
              <w:left w:val="single" w:sz="4" w:space="0" w:color="auto"/>
              <w:bottom w:val="single" w:sz="4" w:space="0" w:color="auto"/>
              <w:right w:val="single" w:sz="4" w:space="0" w:color="auto"/>
            </w:tcBorders>
            <w:shd w:val="clear" w:color="000000" w:fill="FFFFFF"/>
            <w:vAlign w:val="bottom"/>
            <w:hideMark/>
          </w:tcPr>
          <w:p w14:paraId="0219F8B8" w14:textId="77777777" w:rsidR="0086699A" w:rsidRPr="00042F16" w:rsidRDefault="0086699A"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Central governments or central banks</w:t>
            </w:r>
          </w:p>
        </w:tc>
        <w:tc>
          <w:tcPr>
            <w:tcW w:w="1253" w:type="pct"/>
            <w:tcBorders>
              <w:top w:val="nil"/>
              <w:left w:val="nil"/>
              <w:bottom w:val="single" w:sz="4" w:space="0" w:color="auto"/>
              <w:right w:val="single" w:sz="4" w:space="0" w:color="auto"/>
            </w:tcBorders>
            <w:shd w:val="clear" w:color="auto" w:fill="auto"/>
            <w:noWrap/>
            <w:vAlign w:val="bottom"/>
            <w:hideMark/>
          </w:tcPr>
          <w:p w14:paraId="396755DA" w14:textId="0E19284E" w:rsidR="0086699A" w:rsidRPr="00042F16" w:rsidRDefault="00B71DF8" w:rsidP="00C966F4">
            <w:pPr>
              <w:spacing w:after="0" w:line="240" w:lineRule="auto"/>
              <w:jc w:val="right"/>
              <w:rPr>
                <w:rFonts w:ascii="Verdana" w:hAnsi="Verdana"/>
                <w:sz w:val="20"/>
                <w:szCs w:val="20"/>
                <w:lang w:eastAsia="en-GB"/>
              </w:rPr>
            </w:pPr>
            <w:r w:rsidRPr="00042F16">
              <w:rPr>
                <w:rFonts w:ascii="Verdana" w:hAnsi="Verdana"/>
                <w:sz w:val="20"/>
                <w:szCs w:val="20"/>
                <w:lang w:eastAsia="en-GB"/>
              </w:rPr>
              <w:t>2,</w:t>
            </w:r>
            <w:r w:rsidR="00C966F4">
              <w:rPr>
                <w:rFonts w:ascii="Verdana" w:hAnsi="Verdana"/>
                <w:sz w:val="20"/>
                <w:szCs w:val="20"/>
                <w:lang w:eastAsia="en-GB"/>
              </w:rPr>
              <w:t>288,21</w:t>
            </w:r>
            <w:r w:rsidRPr="00042F16">
              <w:rPr>
                <w:rFonts w:ascii="Verdana" w:hAnsi="Verdana"/>
                <w:sz w:val="20"/>
                <w:szCs w:val="20"/>
                <w:lang w:eastAsia="en-GB"/>
              </w:rPr>
              <w:t>0</w:t>
            </w:r>
          </w:p>
        </w:tc>
        <w:tc>
          <w:tcPr>
            <w:tcW w:w="1402" w:type="pct"/>
            <w:tcBorders>
              <w:top w:val="nil"/>
              <w:left w:val="nil"/>
              <w:bottom w:val="nil"/>
              <w:right w:val="single" w:sz="4" w:space="0" w:color="auto"/>
            </w:tcBorders>
            <w:shd w:val="clear" w:color="auto" w:fill="auto"/>
            <w:noWrap/>
            <w:vAlign w:val="bottom"/>
            <w:hideMark/>
          </w:tcPr>
          <w:p w14:paraId="4C557014" w14:textId="384537AB" w:rsidR="0086699A" w:rsidRPr="00042F16" w:rsidRDefault="007D52D2"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2</w:t>
            </w:r>
            <w:r w:rsidR="00C966F4">
              <w:rPr>
                <w:rFonts w:ascii="Verdana" w:hAnsi="Verdana"/>
                <w:sz w:val="20"/>
                <w:szCs w:val="20"/>
                <w:lang w:eastAsia="en-GB"/>
              </w:rPr>
              <w:t>,318,195</w:t>
            </w:r>
          </w:p>
        </w:tc>
      </w:tr>
      <w:tr w:rsidR="00C966F4" w:rsidRPr="00042F16" w14:paraId="07CA2580" w14:textId="77777777" w:rsidTr="007E7755">
        <w:trPr>
          <w:trHeight w:val="284"/>
        </w:trPr>
        <w:tc>
          <w:tcPr>
            <w:tcW w:w="2345" w:type="pct"/>
            <w:tcBorders>
              <w:top w:val="nil"/>
              <w:left w:val="single" w:sz="4" w:space="0" w:color="auto"/>
              <w:bottom w:val="single" w:sz="4" w:space="0" w:color="auto"/>
              <w:right w:val="single" w:sz="4" w:space="0" w:color="auto"/>
            </w:tcBorders>
            <w:shd w:val="clear" w:color="000000" w:fill="FFFFFF"/>
            <w:vAlign w:val="bottom"/>
          </w:tcPr>
          <w:p w14:paraId="2DC3312A" w14:textId="710D6422" w:rsidR="00C966F4" w:rsidRPr="00042F16" w:rsidRDefault="00C966F4" w:rsidP="005B0625">
            <w:pPr>
              <w:spacing w:after="0" w:line="240" w:lineRule="auto"/>
              <w:jc w:val="left"/>
              <w:rPr>
                <w:rFonts w:ascii="Verdana" w:hAnsi="Verdana"/>
                <w:sz w:val="20"/>
                <w:szCs w:val="20"/>
                <w:lang w:eastAsia="en-GB"/>
              </w:rPr>
            </w:pPr>
            <w:r>
              <w:rPr>
                <w:rFonts w:ascii="Verdana" w:hAnsi="Verdana"/>
                <w:sz w:val="20"/>
                <w:szCs w:val="20"/>
                <w:lang w:eastAsia="en-GB"/>
              </w:rPr>
              <w:t>Corporates</w:t>
            </w:r>
          </w:p>
        </w:tc>
        <w:tc>
          <w:tcPr>
            <w:tcW w:w="1253" w:type="pct"/>
            <w:tcBorders>
              <w:top w:val="nil"/>
              <w:left w:val="nil"/>
              <w:bottom w:val="single" w:sz="4" w:space="0" w:color="auto"/>
              <w:right w:val="single" w:sz="4" w:space="0" w:color="auto"/>
            </w:tcBorders>
            <w:shd w:val="clear" w:color="auto" w:fill="auto"/>
            <w:noWrap/>
            <w:vAlign w:val="bottom"/>
          </w:tcPr>
          <w:p w14:paraId="3441E882" w14:textId="29C754E1" w:rsidR="00C966F4"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0</w:t>
            </w:r>
          </w:p>
        </w:tc>
        <w:tc>
          <w:tcPr>
            <w:tcW w:w="1402" w:type="pct"/>
            <w:tcBorders>
              <w:top w:val="nil"/>
              <w:left w:val="nil"/>
              <w:bottom w:val="nil"/>
              <w:right w:val="single" w:sz="4" w:space="0" w:color="auto"/>
            </w:tcBorders>
            <w:shd w:val="clear" w:color="auto" w:fill="auto"/>
            <w:noWrap/>
            <w:vAlign w:val="bottom"/>
          </w:tcPr>
          <w:p w14:paraId="5F818B4E" w14:textId="4EE42AA4" w:rsidR="00C966F4"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114,208</w:t>
            </w:r>
          </w:p>
        </w:tc>
      </w:tr>
      <w:tr w:rsidR="0086699A" w:rsidRPr="00042F16" w14:paraId="2F3D07D5" w14:textId="77777777" w:rsidTr="007E7755">
        <w:trPr>
          <w:trHeight w:val="284"/>
        </w:trPr>
        <w:tc>
          <w:tcPr>
            <w:tcW w:w="2345" w:type="pct"/>
            <w:tcBorders>
              <w:top w:val="nil"/>
              <w:left w:val="single" w:sz="4" w:space="0" w:color="auto"/>
              <w:bottom w:val="single" w:sz="4" w:space="0" w:color="auto"/>
              <w:right w:val="single" w:sz="4" w:space="0" w:color="auto"/>
            </w:tcBorders>
            <w:shd w:val="clear" w:color="000000" w:fill="FFFFFF"/>
            <w:vAlign w:val="bottom"/>
            <w:hideMark/>
          </w:tcPr>
          <w:p w14:paraId="5676F89E" w14:textId="77777777" w:rsidR="0086699A" w:rsidRPr="00042F16" w:rsidRDefault="0086699A"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Covered bonds</w:t>
            </w:r>
          </w:p>
        </w:tc>
        <w:tc>
          <w:tcPr>
            <w:tcW w:w="1253" w:type="pct"/>
            <w:tcBorders>
              <w:top w:val="nil"/>
              <w:left w:val="nil"/>
              <w:bottom w:val="single" w:sz="4" w:space="0" w:color="auto"/>
              <w:right w:val="single" w:sz="4" w:space="0" w:color="auto"/>
            </w:tcBorders>
            <w:shd w:val="clear" w:color="auto" w:fill="auto"/>
            <w:noWrap/>
            <w:vAlign w:val="bottom"/>
            <w:hideMark/>
          </w:tcPr>
          <w:p w14:paraId="2D2C9D24" w14:textId="0397C8CB" w:rsidR="0086699A"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0</w:t>
            </w:r>
          </w:p>
        </w:tc>
        <w:tc>
          <w:tcPr>
            <w:tcW w:w="1402" w:type="pct"/>
            <w:tcBorders>
              <w:top w:val="nil"/>
              <w:left w:val="nil"/>
              <w:bottom w:val="single" w:sz="4" w:space="0" w:color="auto"/>
              <w:right w:val="single" w:sz="4" w:space="0" w:color="auto"/>
            </w:tcBorders>
            <w:shd w:val="clear" w:color="auto" w:fill="auto"/>
            <w:noWrap/>
            <w:vAlign w:val="bottom"/>
            <w:hideMark/>
          </w:tcPr>
          <w:p w14:paraId="23953C75" w14:textId="40918777" w:rsidR="0086699A"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0</w:t>
            </w:r>
          </w:p>
        </w:tc>
      </w:tr>
      <w:tr w:rsidR="0086699A" w:rsidRPr="00042F16" w14:paraId="36FC2107" w14:textId="77777777" w:rsidTr="007E7755">
        <w:trPr>
          <w:trHeight w:val="284"/>
        </w:trPr>
        <w:tc>
          <w:tcPr>
            <w:tcW w:w="2345" w:type="pct"/>
            <w:tcBorders>
              <w:top w:val="nil"/>
              <w:left w:val="single" w:sz="4" w:space="0" w:color="auto"/>
              <w:bottom w:val="single" w:sz="4" w:space="0" w:color="auto"/>
              <w:right w:val="single" w:sz="4" w:space="0" w:color="auto"/>
            </w:tcBorders>
            <w:shd w:val="clear" w:color="000000" w:fill="FFFFFF"/>
            <w:vAlign w:val="bottom"/>
            <w:hideMark/>
          </w:tcPr>
          <w:p w14:paraId="53623A1D" w14:textId="77777777" w:rsidR="0086699A" w:rsidRPr="00042F16" w:rsidRDefault="0086699A"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Claims on institutions and corporates with a short-term credit assessment</w:t>
            </w:r>
          </w:p>
        </w:tc>
        <w:tc>
          <w:tcPr>
            <w:tcW w:w="1253" w:type="pct"/>
            <w:tcBorders>
              <w:top w:val="nil"/>
              <w:left w:val="nil"/>
              <w:bottom w:val="single" w:sz="4" w:space="0" w:color="auto"/>
              <w:right w:val="single" w:sz="4" w:space="0" w:color="auto"/>
            </w:tcBorders>
            <w:shd w:val="clear" w:color="auto" w:fill="auto"/>
            <w:noWrap/>
            <w:vAlign w:val="center"/>
            <w:hideMark/>
          </w:tcPr>
          <w:p w14:paraId="7A5C4C2A" w14:textId="668D1ED1" w:rsidR="0086699A"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47,096,68</w:t>
            </w:r>
            <w:r w:rsidR="00B71DF8" w:rsidRPr="00042F16">
              <w:rPr>
                <w:rFonts w:ascii="Verdana" w:hAnsi="Verdana"/>
                <w:sz w:val="20"/>
                <w:szCs w:val="20"/>
                <w:lang w:eastAsia="en-GB"/>
              </w:rPr>
              <w:t>9</w:t>
            </w:r>
          </w:p>
        </w:tc>
        <w:tc>
          <w:tcPr>
            <w:tcW w:w="1402" w:type="pct"/>
            <w:tcBorders>
              <w:top w:val="nil"/>
              <w:left w:val="nil"/>
              <w:bottom w:val="single" w:sz="4" w:space="0" w:color="auto"/>
              <w:right w:val="single" w:sz="4" w:space="0" w:color="auto"/>
            </w:tcBorders>
            <w:shd w:val="clear" w:color="auto" w:fill="auto"/>
            <w:noWrap/>
            <w:vAlign w:val="center"/>
            <w:hideMark/>
          </w:tcPr>
          <w:p w14:paraId="41E2DB19" w14:textId="39898464" w:rsidR="0086699A"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41,929,276</w:t>
            </w:r>
          </w:p>
        </w:tc>
      </w:tr>
      <w:tr w:rsidR="0086699A" w:rsidRPr="00042F16" w14:paraId="29F37FF6" w14:textId="77777777" w:rsidTr="007E7755">
        <w:trPr>
          <w:trHeight w:val="284"/>
        </w:trPr>
        <w:tc>
          <w:tcPr>
            <w:tcW w:w="2345" w:type="pct"/>
            <w:tcBorders>
              <w:top w:val="nil"/>
              <w:left w:val="single" w:sz="4" w:space="0" w:color="auto"/>
              <w:bottom w:val="single" w:sz="4" w:space="0" w:color="auto"/>
              <w:right w:val="single" w:sz="4" w:space="0" w:color="auto"/>
            </w:tcBorders>
            <w:shd w:val="clear" w:color="000000" w:fill="FFFFFF"/>
            <w:vAlign w:val="bottom"/>
            <w:hideMark/>
          </w:tcPr>
          <w:p w14:paraId="018BE64F" w14:textId="77777777" w:rsidR="0086699A" w:rsidRPr="00042F16" w:rsidRDefault="0086699A"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Collective investment undertakings (CIU)</w:t>
            </w:r>
          </w:p>
        </w:tc>
        <w:tc>
          <w:tcPr>
            <w:tcW w:w="1253" w:type="pct"/>
            <w:tcBorders>
              <w:top w:val="nil"/>
              <w:left w:val="nil"/>
              <w:bottom w:val="single" w:sz="4" w:space="0" w:color="auto"/>
              <w:right w:val="single" w:sz="4" w:space="0" w:color="auto"/>
            </w:tcBorders>
            <w:shd w:val="clear" w:color="auto" w:fill="auto"/>
            <w:noWrap/>
            <w:vAlign w:val="bottom"/>
            <w:hideMark/>
          </w:tcPr>
          <w:p w14:paraId="6F0F133A" w14:textId="678319B4" w:rsidR="0086699A" w:rsidRPr="00042F16" w:rsidRDefault="00B71DF8" w:rsidP="00C966F4">
            <w:pPr>
              <w:spacing w:after="0" w:line="240" w:lineRule="auto"/>
              <w:jc w:val="right"/>
              <w:rPr>
                <w:rFonts w:ascii="Verdana" w:hAnsi="Verdana"/>
                <w:sz w:val="20"/>
                <w:szCs w:val="20"/>
                <w:lang w:eastAsia="en-GB"/>
              </w:rPr>
            </w:pPr>
            <w:r w:rsidRPr="00042F16">
              <w:rPr>
                <w:rFonts w:ascii="Verdana" w:hAnsi="Verdana"/>
                <w:sz w:val="20"/>
                <w:szCs w:val="20"/>
                <w:lang w:eastAsia="en-GB"/>
              </w:rPr>
              <w:t>1</w:t>
            </w:r>
            <w:r w:rsidR="00C966F4">
              <w:rPr>
                <w:rFonts w:ascii="Verdana" w:hAnsi="Verdana"/>
                <w:sz w:val="20"/>
                <w:szCs w:val="20"/>
                <w:lang w:eastAsia="en-GB"/>
              </w:rPr>
              <w:t>1,066,100</w:t>
            </w:r>
          </w:p>
        </w:tc>
        <w:tc>
          <w:tcPr>
            <w:tcW w:w="1402" w:type="pct"/>
            <w:tcBorders>
              <w:top w:val="nil"/>
              <w:left w:val="nil"/>
              <w:bottom w:val="single" w:sz="4" w:space="0" w:color="auto"/>
              <w:right w:val="single" w:sz="4" w:space="0" w:color="auto"/>
            </w:tcBorders>
            <w:shd w:val="clear" w:color="auto" w:fill="auto"/>
            <w:noWrap/>
            <w:vAlign w:val="bottom"/>
            <w:hideMark/>
          </w:tcPr>
          <w:p w14:paraId="3061908F" w14:textId="378F2A50" w:rsidR="0086699A" w:rsidRPr="00042F16" w:rsidRDefault="007D52D2"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1</w:t>
            </w:r>
            <w:r w:rsidR="00C966F4">
              <w:rPr>
                <w:rFonts w:ascii="Verdana" w:hAnsi="Verdana"/>
                <w:sz w:val="20"/>
                <w:szCs w:val="20"/>
                <w:lang w:eastAsia="en-GB"/>
              </w:rPr>
              <w:t>2,280,044</w:t>
            </w:r>
          </w:p>
        </w:tc>
      </w:tr>
      <w:tr w:rsidR="0086699A" w:rsidRPr="00042F16" w14:paraId="0D6983F6" w14:textId="77777777" w:rsidTr="007E7755">
        <w:trPr>
          <w:trHeight w:val="284"/>
        </w:trPr>
        <w:tc>
          <w:tcPr>
            <w:tcW w:w="2345" w:type="pct"/>
            <w:tcBorders>
              <w:top w:val="nil"/>
              <w:left w:val="single" w:sz="4" w:space="0" w:color="auto"/>
              <w:bottom w:val="single" w:sz="4" w:space="0" w:color="auto"/>
              <w:right w:val="single" w:sz="4" w:space="0" w:color="auto"/>
            </w:tcBorders>
            <w:shd w:val="clear" w:color="000000" w:fill="FFFFFF"/>
            <w:vAlign w:val="bottom"/>
            <w:hideMark/>
          </w:tcPr>
          <w:p w14:paraId="0BE320CF" w14:textId="77777777" w:rsidR="0086699A" w:rsidRPr="00042F16" w:rsidRDefault="0086699A"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Other exposures</w:t>
            </w:r>
          </w:p>
        </w:tc>
        <w:tc>
          <w:tcPr>
            <w:tcW w:w="1253" w:type="pct"/>
            <w:tcBorders>
              <w:top w:val="nil"/>
              <w:left w:val="nil"/>
              <w:bottom w:val="single" w:sz="4" w:space="0" w:color="auto"/>
              <w:right w:val="single" w:sz="4" w:space="0" w:color="auto"/>
            </w:tcBorders>
            <w:shd w:val="clear" w:color="auto" w:fill="auto"/>
            <w:noWrap/>
            <w:vAlign w:val="bottom"/>
            <w:hideMark/>
          </w:tcPr>
          <w:p w14:paraId="236E59E0" w14:textId="039F8F21" w:rsidR="0086699A"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19,571,354</w:t>
            </w:r>
          </w:p>
        </w:tc>
        <w:tc>
          <w:tcPr>
            <w:tcW w:w="1402" w:type="pct"/>
            <w:tcBorders>
              <w:top w:val="nil"/>
              <w:left w:val="nil"/>
              <w:bottom w:val="single" w:sz="4" w:space="0" w:color="auto"/>
              <w:right w:val="single" w:sz="4" w:space="0" w:color="auto"/>
            </w:tcBorders>
            <w:shd w:val="clear" w:color="auto" w:fill="auto"/>
            <w:noWrap/>
            <w:vAlign w:val="bottom"/>
            <w:hideMark/>
          </w:tcPr>
          <w:p w14:paraId="5B7AB473" w14:textId="0CA80EBF" w:rsidR="0086699A"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12,413,566</w:t>
            </w:r>
          </w:p>
        </w:tc>
      </w:tr>
      <w:tr w:rsidR="0086699A" w:rsidRPr="00042F16" w14:paraId="68D3439C" w14:textId="77777777" w:rsidTr="007E7755">
        <w:trPr>
          <w:trHeight w:val="284"/>
        </w:trPr>
        <w:tc>
          <w:tcPr>
            <w:tcW w:w="2345" w:type="pct"/>
            <w:tcBorders>
              <w:top w:val="nil"/>
              <w:left w:val="single" w:sz="4" w:space="0" w:color="auto"/>
              <w:bottom w:val="single" w:sz="4" w:space="0" w:color="auto"/>
              <w:right w:val="single" w:sz="4" w:space="0" w:color="auto"/>
            </w:tcBorders>
            <w:shd w:val="clear" w:color="000000" w:fill="FFFFFF"/>
            <w:vAlign w:val="bottom"/>
            <w:hideMark/>
          </w:tcPr>
          <w:p w14:paraId="23F8223A" w14:textId="77777777" w:rsidR="0086699A" w:rsidRPr="00042F16" w:rsidRDefault="0086699A"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Total SA approach</w:t>
            </w:r>
          </w:p>
        </w:tc>
        <w:tc>
          <w:tcPr>
            <w:tcW w:w="1253" w:type="pct"/>
            <w:tcBorders>
              <w:top w:val="nil"/>
              <w:left w:val="nil"/>
              <w:bottom w:val="single" w:sz="4" w:space="0" w:color="auto"/>
              <w:right w:val="single" w:sz="4" w:space="0" w:color="auto"/>
            </w:tcBorders>
            <w:shd w:val="clear" w:color="auto" w:fill="auto"/>
            <w:noWrap/>
            <w:vAlign w:val="bottom"/>
            <w:hideMark/>
          </w:tcPr>
          <w:p w14:paraId="0145C4D8" w14:textId="62623994" w:rsidR="0086699A" w:rsidRPr="00042F16" w:rsidRDefault="00C966F4" w:rsidP="00C966F4">
            <w:pPr>
              <w:spacing w:after="0" w:line="240" w:lineRule="auto"/>
              <w:jc w:val="right"/>
              <w:rPr>
                <w:rFonts w:ascii="Verdana" w:hAnsi="Verdana"/>
                <w:sz w:val="20"/>
                <w:szCs w:val="20"/>
                <w:lang w:eastAsia="en-GB"/>
              </w:rPr>
            </w:pPr>
            <w:r>
              <w:rPr>
                <w:rFonts w:ascii="Verdana" w:hAnsi="Verdana"/>
                <w:sz w:val="20"/>
                <w:szCs w:val="20"/>
                <w:lang w:eastAsia="en-GB"/>
              </w:rPr>
              <w:t>80</w:t>
            </w:r>
            <w:r w:rsidR="00B71DF8" w:rsidRPr="00042F16">
              <w:rPr>
                <w:rFonts w:ascii="Verdana" w:hAnsi="Verdana"/>
                <w:sz w:val="20"/>
                <w:szCs w:val="20"/>
                <w:lang w:eastAsia="en-GB"/>
              </w:rPr>
              <w:t>,</w:t>
            </w:r>
            <w:r>
              <w:rPr>
                <w:rFonts w:ascii="Verdana" w:hAnsi="Verdana"/>
                <w:sz w:val="20"/>
                <w:szCs w:val="20"/>
                <w:lang w:eastAsia="en-GB"/>
              </w:rPr>
              <w:t>022,35</w:t>
            </w:r>
            <w:r w:rsidR="00B71DF8" w:rsidRPr="00042F16">
              <w:rPr>
                <w:rFonts w:ascii="Verdana" w:hAnsi="Verdana"/>
                <w:sz w:val="20"/>
                <w:szCs w:val="20"/>
                <w:lang w:eastAsia="en-GB"/>
              </w:rPr>
              <w:t>2</w:t>
            </w:r>
          </w:p>
        </w:tc>
        <w:tc>
          <w:tcPr>
            <w:tcW w:w="1402" w:type="pct"/>
            <w:tcBorders>
              <w:top w:val="nil"/>
              <w:left w:val="nil"/>
              <w:bottom w:val="single" w:sz="4" w:space="0" w:color="auto"/>
              <w:right w:val="single" w:sz="4" w:space="0" w:color="auto"/>
            </w:tcBorders>
            <w:shd w:val="clear" w:color="auto" w:fill="auto"/>
            <w:noWrap/>
            <w:vAlign w:val="bottom"/>
            <w:hideMark/>
          </w:tcPr>
          <w:p w14:paraId="6C9D47AA" w14:textId="74D5193F" w:rsidR="0086699A" w:rsidRPr="00042F16" w:rsidRDefault="007D52D2"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6</w:t>
            </w:r>
            <w:r w:rsidR="00C966F4">
              <w:rPr>
                <w:rFonts w:ascii="Verdana" w:hAnsi="Verdana"/>
                <w:sz w:val="20"/>
                <w:szCs w:val="20"/>
                <w:lang w:eastAsia="en-GB"/>
              </w:rPr>
              <w:t>9,055,289</w:t>
            </w:r>
          </w:p>
        </w:tc>
      </w:tr>
      <w:tr w:rsidR="0086699A" w:rsidRPr="00042F16" w14:paraId="67340052" w14:textId="77777777" w:rsidTr="00650143">
        <w:trPr>
          <w:trHeight w:val="284"/>
        </w:trPr>
        <w:tc>
          <w:tcPr>
            <w:tcW w:w="2345" w:type="pct"/>
            <w:tcBorders>
              <w:top w:val="nil"/>
              <w:left w:val="single" w:sz="4" w:space="0" w:color="auto"/>
              <w:bottom w:val="single" w:sz="4" w:space="0" w:color="auto"/>
              <w:right w:val="single" w:sz="4" w:space="0" w:color="auto"/>
            </w:tcBorders>
            <w:shd w:val="clear" w:color="auto" w:fill="auto"/>
            <w:noWrap/>
            <w:vAlign w:val="bottom"/>
            <w:hideMark/>
          </w:tcPr>
          <w:p w14:paraId="0BD5B0FC" w14:textId="77777777" w:rsidR="0086699A" w:rsidRPr="005B0625" w:rsidRDefault="0086699A" w:rsidP="005B0625">
            <w:pPr>
              <w:spacing w:after="0" w:line="240" w:lineRule="auto"/>
              <w:jc w:val="left"/>
              <w:rPr>
                <w:rFonts w:ascii="Verdana" w:hAnsi="Verdana"/>
                <w:b/>
                <w:sz w:val="20"/>
                <w:szCs w:val="20"/>
                <w:lang w:eastAsia="en-GB"/>
              </w:rPr>
            </w:pPr>
            <w:r w:rsidRPr="005B0625">
              <w:rPr>
                <w:rFonts w:ascii="Verdana" w:hAnsi="Verdana"/>
                <w:b/>
                <w:sz w:val="20"/>
                <w:szCs w:val="20"/>
                <w:lang w:eastAsia="en-GB"/>
              </w:rPr>
              <w:t>Total</w:t>
            </w:r>
          </w:p>
        </w:tc>
        <w:tc>
          <w:tcPr>
            <w:tcW w:w="1253" w:type="pct"/>
            <w:tcBorders>
              <w:top w:val="nil"/>
              <w:left w:val="nil"/>
              <w:bottom w:val="single" w:sz="4" w:space="0" w:color="auto"/>
              <w:right w:val="single" w:sz="4" w:space="0" w:color="auto"/>
            </w:tcBorders>
            <w:shd w:val="clear" w:color="auto" w:fill="auto"/>
            <w:noWrap/>
            <w:vAlign w:val="bottom"/>
            <w:hideMark/>
          </w:tcPr>
          <w:p w14:paraId="1FF369F2" w14:textId="24ACFD66" w:rsidR="0086699A" w:rsidRPr="005B0625" w:rsidRDefault="00C966F4" w:rsidP="00C966F4">
            <w:pPr>
              <w:spacing w:after="0" w:line="240" w:lineRule="auto"/>
              <w:jc w:val="right"/>
              <w:rPr>
                <w:rFonts w:ascii="Verdana" w:hAnsi="Verdana"/>
                <w:b/>
                <w:sz w:val="20"/>
                <w:szCs w:val="20"/>
                <w:lang w:eastAsia="en-GB"/>
              </w:rPr>
            </w:pPr>
            <w:r>
              <w:rPr>
                <w:rFonts w:ascii="Verdana" w:hAnsi="Verdana"/>
                <w:b/>
                <w:sz w:val="20"/>
                <w:szCs w:val="20"/>
                <w:lang w:eastAsia="en-GB"/>
              </w:rPr>
              <w:t>80</w:t>
            </w:r>
            <w:r w:rsidR="00B71DF8" w:rsidRPr="005B0625">
              <w:rPr>
                <w:rFonts w:ascii="Verdana" w:hAnsi="Verdana"/>
                <w:b/>
                <w:sz w:val="20"/>
                <w:szCs w:val="20"/>
                <w:lang w:eastAsia="en-GB"/>
              </w:rPr>
              <w:t>,</w:t>
            </w:r>
            <w:r>
              <w:rPr>
                <w:rFonts w:ascii="Verdana" w:hAnsi="Verdana"/>
                <w:b/>
                <w:sz w:val="20"/>
                <w:szCs w:val="20"/>
                <w:lang w:eastAsia="en-GB"/>
              </w:rPr>
              <w:t>022,35</w:t>
            </w:r>
            <w:r w:rsidR="00B71DF8" w:rsidRPr="005B0625">
              <w:rPr>
                <w:rFonts w:ascii="Verdana" w:hAnsi="Verdana"/>
                <w:b/>
                <w:sz w:val="20"/>
                <w:szCs w:val="20"/>
                <w:lang w:eastAsia="en-GB"/>
              </w:rPr>
              <w:t>2</w:t>
            </w:r>
          </w:p>
        </w:tc>
        <w:tc>
          <w:tcPr>
            <w:tcW w:w="1402" w:type="pct"/>
            <w:tcBorders>
              <w:top w:val="nil"/>
              <w:left w:val="nil"/>
              <w:bottom w:val="single" w:sz="4" w:space="0" w:color="auto"/>
              <w:right w:val="single" w:sz="4" w:space="0" w:color="auto"/>
            </w:tcBorders>
            <w:shd w:val="clear" w:color="auto" w:fill="auto"/>
            <w:noWrap/>
            <w:vAlign w:val="bottom"/>
            <w:hideMark/>
          </w:tcPr>
          <w:p w14:paraId="58343DCF" w14:textId="4070AD6A" w:rsidR="0086699A" w:rsidRPr="005B0625" w:rsidRDefault="007D52D2" w:rsidP="005B0625">
            <w:pPr>
              <w:spacing w:after="0" w:line="240" w:lineRule="auto"/>
              <w:jc w:val="right"/>
              <w:rPr>
                <w:rFonts w:ascii="Verdana" w:hAnsi="Verdana"/>
                <w:b/>
                <w:sz w:val="20"/>
                <w:szCs w:val="20"/>
                <w:lang w:eastAsia="en-GB"/>
              </w:rPr>
            </w:pPr>
            <w:r w:rsidRPr="005B0625">
              <w:rPr>
                <w:rFonts w:ascii="Verdana" w:hAnsi="Verdana"/>
                <w:b/>
                <w:sz w:val="20"/>
                <w:szCs w:val="20"/>
                <w:lang w:eastAsia="en-GB"/>
              </w:rPr>
              <w:t>6</w:t>
            </w:r>
            <w:r w:rsidR="00C966F4">
              <w:rPr>
                <w:rFonts w:ascii="Verdana" w:hAnsi="Verdana"/>
                <w:b/>
                <w:sz w:val="20"/>
                <w:szCs w:val="20"/>
                <w:lang w:eastAsia="en-GB"/>
              </w:rPr>
              <w:t>9,055,289</w:t>
            </w:r>
          </w:p>
        </w:tc>
      </w:tr>
    </w:tbl>
    <w:p w14:paraId="38D52404" w14:textId="77777777" w:rsidR="0045405F" w:rsidRPr="00042F16" w:rsidRDefault="0045405F" w:rsidP="005B0625">
      <w:pPr>
        <w:spacing w:after="0" w:line="240" w:lineRule="auto"/>
        <w:rPr>
          <w:rFonts w:ascii="Verdana" w:hAnsi="Verdana"/>
          <w:sz w:val="20"/>
          <w:szCs w:val="20"/>
        </w:rPr>
      </w:pPr>
    </w:p>
    <w:p w14:paraId="2C70284E" w14:textId="3D9D6B7C" w:rsidR="003B7384" w:rsidRDefault="003B7384" w:rsidP="005B0625">
      <w:pPr>
        <w:spacing w:after="0" w:line="240" w:lineRule="auto"/>
        <w:rPr>
          <w:rFonts w:ascii="Verdana" w:hAnsi="Verdana"/>
          <w:sz w:val="20"/>
          <w:szCs w:val="20"/>
        </w:rPr>
      </w:pPr>
      <w:r w:rsidRPr="00042F16">
        <w:rPr>
          <w:rFonts w:ascii="Verdana" w:hAnsi="Verdana"/>
          <w:sz w:val="20"/>
          <w:szCs w:val="20"/>
        </w:rPr>
        <w:t>The total amount of exposures broken down by their exposure classes and maturity as of 31 D</w:t>
      </w:r>
      <w:r w:rsidR="0060275C">
        <w:rPr>
          <w:rFonts w:ascii="Verdana" w:hAnsi="Verdana"/>
          <w:sz w:val="20"/>
          <w:szCs w:val="20"/>
        </w:rPr>
        <w:t>ecember 2019</w:t>
      </w:r>
      <w:r w:rsidR="00DF5798" w:rsidRPr="00042F16">
        <w:rPr>
          <w:rFonts w:ascii="Verdana" w:hAnsi="Verdana"/>
          <w:sz w:val="20"/>
          <w:szCs w:val="20"/>
        </w:rPr>
        <w:t xml:space="preserve"> are shown in the following table:</w:t>
      </w:r>
    </w:p>
    <w:p w14:paraId="17028AEE" w14:textId="77777777" w:rsidR="005B0625" w:rsidRPr="00042F16" w:rsidRDefault="005B0625" w:rsidP="005B0625">
      <w:pPr>
        <w:spacing w:after="0" w:line="240" w:lineRule="auto"/>
        <w:rPr>
          <w:rFonts w:ascii="Verdana" w:hAnsi="Verdana"/>
          <w:sz w:val="20"/>
          <w:szCs w:val="20"/>
        </w:rPr>
      </w:pPr>
    </w:p>
    <w:p w14:paraId="0E671CF4" w14:textId="0DD92B64" w:rsidR="00FA0B51" w:rsidRPr="005B0625" w:rsidRDefault="00851FCD" w:rsidP="005B0625">
      <w:pPr>
        <w:pStyle w:val="Caption"/>
        <w:spacing w:after="0"/>
        <w:rPr>
          <w:rFonts w:ascii="Verdana" w:hAnsi="Verdana"/>
          <w:color w:val="auto"/>
          <w:sz w:val="20"/>
          <w:szCs w:val="20"/>
        </w:rPr>
      </w:pPr>
      <w:bookmarkStart w:id="56" w:name="_Toc22716633"/>
      <w:r w:rsidRPr="005B0625">
        <w:rPr>
          <w:rFonts w:ascii="Verdana" w:hAnsi="Verdana"/>
          <w:color w:val="auto"/>
          <w:sz w:val="20"/>
          <w:szCs w:val="20"/>
        </w:rPr>
        <w:t xml:space="preserve">Table </w:t>
      </w:r>
      <w:r w:rsidRPr="005B0625">
        <w:rPr>
          <w:rFonts w:ascii="Verdana" w:hAnsi="Verdana"/>
          <w:color w:val="auto"/>
          <w:sz w:val="20"/>
          <w:szCs w:val="20"/>
        </w:rPr>
        <w:fldChar w:fldCharType="begin"/>
      </w:r>
      <w:r w:rsidRPr="005B0625">
        <w:rPr>
          <w:rFonts w:ascii="Verdana" w:hAnsi="Verdana"/>
          <w:color w:val="auto"/>
          <w:sz w:val="20"/>
          <w:szCs w:val="20"/>
        </w:rPr>
        <w:instrText xml:space="preserve"> SEQ Table \* ARABIC </w:instrText>
      </w:r>
      <w:r w:rsidRPr="005B0625">
        <w:rPr>
          <w:rFonts w:ascii="Verdana" w:hAnsi="Verdana"/>
          <w:color w:val="auto"/>
          <w:sz w:val="20"/>
          <w:szCs w:val="20"/>
        </w:rPr>
        <w:fldChar w:fldCharType="separate"/>
      </w:r>
      <w:r w:rsidR="00E7065A" w:rsidRPr="005B0625">
        <w:rPr>
          <w:rFonts w:ascii="Verdana" w:hAnsi="Verdana"/>
          <w:noProof/>
          <w:color w:val="auto"/>
          <w:sz w:val="20"/>
          <w:szCs w:val="20"/>
        </w:rPr>
        <w:t>9</w:t>
      </w:r>
      <w:r w:rsidRPr="005B0625">
        <w:rPr>
          <w:rFonts w:ascii="Verdana" w:hAnsi="Verdana"/>
          <w:color w:val="auto"/>
          <w:sz w:val="20"/>
          <w:szCs w:val="20"/>
        </w:rPr>
        <w:fldChar w:fldCharType="end"/>
      </w:r>
      <w:r w:rsidRPr="005B0625">
        <w:rPr>
          <w:rFonts w:ascii="Verdana" w:hAnsi="Verdana"/>
          <w:color w:val="auto"/>
          <w:sz w:val="20"/>
          <w:szCs w:val="20"/>
        </w:rPr>
        <w:t xml:space="preserve"> : Maturity breakdown of exposures as of 31 December 201</w:t>
      </w:r>
      <w:bookmarkEnd w:id="56"/>
      <w:r w:rsidR="0060275C">
        <w:rPr>
          <w:rFonts w:ascii="Verdana" w:hAnsi="Verdana"/>
          <w:color w:val="auto"/>
          <w:sz w:val="20"/>
          <w:szCs w:val="20"/>
        </w:rPr>
        <w:t>9</w:t>
      </w:r>
    </w:p>
    <w:tbl>
      <w:tblPr>
        <w:tblW w:w="5000" w:type="pct"/>
        <w:tblLook w:val="04A0" w:firstRow="1" w:lastRow="0" w:firstColumn="1" w:lastColumn="0" w:noHBand="0" w:noVBand="1"/>
      </w:tblPr>
      <w:tblGrid>
        <w:gridCol w:w="2793"/>
        <w:gridCol w:w="1117"/>
        <w:gridCol w:w="1073"/>
        <w:gridCol w:w="1204"/>
        <w:gridCol w:w="1121"/>
        <w:gridCol w:w="1184"/>
        <w:gridCol w:w="973"/>
      </w:tblGrid>
      <w:tr w:rsidR="00883CEA" w:rsidRPr="00042F16" w14:paraId="12798FDD" w14:textId="77777777" w:rsidTr="00C966F4">
        <w:trPr>
          <w:trHeight w:val="300"/>
        </w:trPr>
        <w:tc>
          <w:tcPr>
            <w:tcW w:w="1476" w:type="pct"/>
            <w:tcBorders>
              <w:top w:val="single" w:sz="4" w:space="0" w:color="auto"/>
              <w:left w:val="single" w:sz="4" w:space="0" w:color="auto"/>
              <w:bottom w:val="single" w:sz="4" w:space="0" w:color="auto"/>
              <w:right w:val="nil"/>
            </w:tcBorders>
            <w:shd w:val="clear" w:color="auto" w:fill="6CACE4"/>
            <w:noWrap/>
            <w:vAlign w:val="bottom"/>
            <w:hideMark/>
          </w:tcPr>
          <w:p w14:paraId="65C711B9"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Maturity of exposures</w:t>
            </w:r>
          </w:p>
        </w:tc>
        <w:tc>
          <w:tcPr>
            <w:tcW w:w="3524" w:type="pct"/>
            <w:gridSpan w:val="6"/>
            <w:tcBorders>
              <w:top w:val="single" w:sz="4" w:space="0" w:color="auto"/>
              <w:left w:val="single" w:sz="4" w:space="0" w:color="auto"/>
              <w:bottom w:val="single" w:sz="4" w:space="0" w:color="auto"/>
              <w:right w:val="single" w:sz="4" w:space="0" w:color="auto"/>
            </w:tcBorders>
            <w:shd w:val="clear" w:color="auto" w:fill="6CACE4"/>
            <w:vAlign w:val="bottom"/>
            <w:hideMark/>
          </w:tcPr>
          <w:p w14:paraId="20FFDACC"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Net exposure value</w:t>
            </w:r>
          </w:p>
        </w:tc>
      </w:tr>
      <w:tr w:rsidR="00883CEA" w:rsidRPr="00042F16" w14:paraId="1C0E6042" w14:textId="77777777" w:rsidTr="00C966F4">
        <w:trPr>
          <w:trHeight w:val="495"/>
        </w:trPr>
        <w:tc>
          <w:tcPr>
            <w:tcW w:w="1476" w:type="pct"/>
            <w:tcBorders>
              <w:top w:val="single" w:sz="4" w:space="0" w:color="auto"/>
              <w:left w:val="single" w:sz="4" w:space="0" w:color="auto"/>
              <w:bottom w:val="single" w:sz="4" w:space="0" w:color="auto"/>
              <w:right w:val="nil"/>
            </w:tcBorders>
            <w:shd w:val="clear" w:color="auto" w:fill="6CACE4"/>
            <w:vAlign w:val="bottom"/>
            <w:hideMark/>
          </w:tcPr>
          <w:p w14:paraId="5C90DD43"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(in millions)</w:t>
            </w:r>
          </w:p>
        </w:tc>
        <w:tc>
          <w:tcPr>
            <w:tcW w:w="590" w:type="pct"/>
            <w:tcBorders>
              <w:top w:val="nil"/>
              <w:left w:val="single" w:sz="4" w:space="0" w:color="auto"/>
              <w:bottom w:val="single" w:sz="4" w:space="0" w:color="auto"/>
              <w:right w:val="single" w:sz="4" w:space="0" w:color="auto"/>
            </w:tcBorders>
            <w:shd w:val="clear" w:color="auto" w:fill="6CACE4"/>
            <w:vAlign w:val="bottom"/>
            <w:hideMark/>
          </w:tcPr>
          <w:p w14:paraId="3C853439"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On demand</w:t>
            </w:r>
          </w:p>
        </w:tc>
        <w:tc>
          <w:tcPr>
            <w:tcW w:w="567" w:type="pct"/>
            <w:tcBorders>
              <w:top w:val="nil"/>
              <w:left w:val="nil"/>
              <w:bottom w:val="single" w:sz="4" w:space="0" w:color="auto"/>
              <w:right w:val="single" w:sz="4" w:space="0" w:color="auto"/>
            </w:tcBorders>
            <w:shd w:val="clear" w:color="auto" w:fill="6CACE4"/>
            <w:vAlign w:val="bottom"/>
            <w:hideMark/>
          </w:tcPr>
          <w:p w14:paraId="5D31433A"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&lt;= 1 year</w:t>
            </w:r>
          </w:p>
        </w:tc>
        <w:tc>
          <w:tcPr>
            <w:tcW w:w="636" w:type="pct"/>
            <w:tcBorders>
              <w:top w:val="nil"/>
              <w:left w:val="nil"/>
              <w:bottom w:val="single" w:sz="4" w:space="0" w:color="auto"/>
              <w:right w:val="single" w:sz="4" w:space="0" w:color="auto"/>
            </w:tcBorders>
            <w:shd w:val="clear" w:color="auto" w:fill="6CACE4"/>
            <w:vAlign w:val="bottom"/>
            <w:hideMark/>
          </w:tcPr>
          <w:p w14:paraId="45ECDDB7"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&gt; 1 year &lt;= 5 years</w:t>
            </w:r>
          </w:p>
        </w:tc>
        <w:tc>
          <w:tcPr>
            <w:tcW w:w="592" w:type="pct"/>
            <w:tcBorders>
              <w:top w:val="nil"/>
              <w:left w:val="nil"/>
              <w:bottom w:val="single" w:sz="4" w:space="0" w:color="auto"/>
              <w:right w:val="single" w:sz="4" w:space="0" w:color="auto"/>
            </w:tcBorders>
            <w:shd w:val="clear" w:color="auto" w:fill="6CACE4"/>
            <w:vAlign w:val="bottom"/>
            <w:hideMark/>
          </w:tcPr>
          <w:p w14:paraId="2B02808F" w14:textId="664FE118" w:rsidR="003B7384" w:rsidRPr="00042F16" w:rsidRDefault="005B0625" w:rsidP="005B0625">
            <w:pPr>
              <w:spacing w:after="0" w:line="240" w:lineRule="auto"/>
              <w:rPr>
                <w:rFonts w:ascii="Verdana" w:hAnsi="Verdana"/>
                <w:b/>
                <w:color w:val="FFFFFF" w:themeColor="background1"/>
                <w:sz w:val="20"/>
                <w:szCs w:val="20"/>
                <w:lang w:eastAsia="en-GB"/>
              </w:rPr>
            </w:pPr>
            <w:r>
              <w:rPr>
                <w:rFonts w:ascii="Verdana" w:hAnsi="Verdana"/>
                <w:b/>
                <w:color w:val="FFFFFF" w:themeColor="background1"/>
                <w:sz w:val="20"/>
                <w:szCs w:val="20"/>
                <w:lang w:eastAsia="en-GB"/>
              </w:rPr>
              <w:t xml:space="preserve">&gt; </w:t>
            </w:r>
            <w:r w:rsidR="003B7384" w:rsidRPr="00042F16">
              <w:rPr>
                <w:rFonts w:ascii="Verdana" w:hAnsi="Verdana"/>
                <w:b/>
                <w:color w:val="FFFFFF" w:themeColor="background1"/>
                <w:sz w:val="20"/>
                <w:szCs w:val="20"/>
                <w:lang w:eastAsia="en-GB"/>
              </w:rPr>
              <w:t>5 years</w:t>
            </w:r>
          </w:p>
        </w:tc>
        <w:tc>
          <w:tcPr>
            <w:tcW w:w="625" w:type="pct"/>
            <w:tcBorders>
              <w:top w:val="nil"/>
              <w:left w:val="nil"/>
              <w:bottom w:val="single" w:sz="4" w:space="0" w:color="auto"/>
              <w:right w:val="single" w:sz="4" w:space="0" w:color="auto"/>
            </w:tcBorders>
            <w:shd w:val="clear" w:color="auto" w:fill="6CACE4"/>
            <w:vAlign w:val="bottom"/>
            <w:hideMark/>
          </w:tcPr>
          <w:p w14:paraId="1A0AC7F1"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No stated maturity</w:t>
            </w:r>
          </w:p>
        </w:tc>
        <w:tc>
          <w:tcPr>
            <w:tcW w:w="513" w:type="pct"/>
            <w:tcBorders>
              <w:top w:val="nil"/>
              <w:left w:val="nil"/>
              <w:bottom w:val="single" w:sz="4" w:space="0" w:color="auto"/>
              <w:right w:val="single" w:sz="4" w:space="0" w:color="auto"/>
            </w:tcBorders>
            <w:shd w:val="clear" w:color="auto" w:fill="6CACE4"/>
            <w:vAlign w:val="bottom"/>
            <w:hideMark/>
          </w:tcPr>
          <w:p w14:paraId="2AA521CC" w14:textId="77777777" w:rsidR="003B7384" w:rsidRPr="00042F16" w:rsidRDefault="003B7384" w:rsidP="005B0625">
            <w:pPr>
              <w:spacing w:after="0" w:line="240" w:lineRule="auto"/>
              <w:rPr>
                <w:rFonts w:ascii="Verdana" w:hAnsi="Verdana"/>
                <w:b/>
                <w:color w:val="FFFFFF" w:themeColor="background1"/>
                <w:sz w:val="20"/>
                <w:szCs w:val="20"/>
                <w:lang w:eastAsia="en-GB"/>
              </w:rPr>
            </w:pPr>
            <w:r w:rsidRPr="00042F16">
              <w:rPr>
                <w:rFonts w:ascii="Verdana" w:hAnsi="Verdana"/>
                <w:b/>
                <w:color w:val="FFFFFF" w:themeColor="background1"/>
                <w:sz w:val="20"/>
                <w:szCs w:val="20"/>
                <w:lang w:eastAsia="en-GB"/>
              </w:rPr>
              <w:t>Total</w:t>
            </w:r>
          </w:p>
        </w:tc>
      </w:tr>
      <w:tr w:rsidR="003B7384" w:rsidRPr="00042F16" w14:paraId="19C0E04F" w14:textId="77777777" w:rsidTr="00C966F4">
        <w:trPr>
          <w:trHeight w:val="495"/>
        </w:trPr>
        <w:tc>
          <w:tcPr>
            <w:tcW w:w="1476" w:type="pct"/>
            <w:tcBorders>
              <w:top w:val="nil"/>
              <w:left w:val="single" w:sz="4" w:space="0" w:color="auto"/>
              <w:bottom w:val="single" w:sz="4" w:space="0" w:color="auto"/>
              <w:right w:val="single" w:sz="4" w:space="0" w:color="auto"/>
            </w:tcBorders>
            <w:shd w:val="clear" w:color="auto" w:fill="auto"/>
            <w:vAlign w:val="center"/>
            <w:hideMark/>
          </w:tcPr>
          <w:p w14:paraId="32BC7E95" w14:textId="77777777" w:rsidR="003B7384" w:rsidRPr="00042F16" w:rsidRDefault="003B7384"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Central governments or central banks</w:t>
            </w:r>
          </w:p>
        </w:tc>
        <w:tc>
          <w:tcPr>
            <w:tcW w:w="590" w:type="pct"/>
            <w:tcBorders>
              <w:top w:val="nil"/>
              <w:left w:val="nil"/>
              <w:bottom w:val="single" w:sz="4" w:space="0" w:color="auto"/>
              <w:right w:val="single" w:sz="4" w:space="0" w:color="auto"/>
            </w:tcBorders>
            <w:shd w:val="clear" w:color="auto" w:fill="auto"/>
            <w:noWrap/>
            <w:vAlign w:val="center"/>
            <w:hideMark/>
          </w:tcPr>
          <w:p w14:paraId="0450D746" w14:textId="08DD2A63" w:rsidR="003B7384" w:rsidRPr="00042F16" w:rsidRDefault="00DF5798"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67" w:type="pct"/>
            <w:tcBorders>
              <w:top w:val="nil"/>
              <w:left w:val="nil"/>
              <w:bottom w:val="single" w:sz="4" w:space="0" w:color="auto"/>
              <w:right w:val="single" w:sz="4" w:space="0" w:color="auto"/>
            </w:tcBorders>
            <w:shd w:val="clear" w:color="auto" w:fill="auto"/>
            <w:noWrap/>
            <w:vAlign w:val="center"/>
            <w:hideMark/>
          </w:tcPr>
          <w:p w14:paraId="2C5F544D"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36" w:type="pct"/>
            <w:tcBorders>
              <w:top w:val="nil"/>
              <w:left w:val="nil"/>
              <w:bottom w:val="single" w:sz="4" w:space="0" w:color="auto"/>
              <w:right w:val="single" w:sz="4" w:space="0" w:color="auto"/>
            </w:tcBorders>
            <w:shd w:val="clear" w:color="auto" w:fill="auto"/>
            <w:noWrap/>
            <w:vAlign w:val="center"/>
            <w:hideMark/>
          </w:tcPr>
          <w:p w14:paraId="6031C678" w14:textId="4081D7F7" w:rsidR="003B7384" w:rsidRPr="00042F16" w:rsidRDefault="00204107"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2,</w:t>
            </w:r>
            <w:r w:rsidR="00C966F4">
              <w:rPr>
                <w:rFonts w:ascii="Verdana" w:hAnsi="Verdana"/>
                <w:sz w:val="20"/>
                <w:szCs w:val="20"/>
                <w:lang w:eastAsia="en-GB"/>
              </w:rPr>
              <w:t>3</w:t>
            </w:r>
          </w:p>
        </w:tc>
        <w:tc>
          <w:tcPr>
            <w:tcW w:w="592" w:type="pct"/>
            <w:tcBorders>
              <w:top w:val="nil"/>
              <w:left w:val="nil"/>
              <w:bottom w:val="single" w:sz="4" w:space="0" w:color="auto"/>
              <w:right w:val="single" w:sz="4" w:space="0" w:color="auto"/>
            </w:tcBorders>
            <w:shd w:val="clear" w:color="auto" w:fill="auto"/>
            <w:noWrap/>
            <w:vAlign w:val="center"/>
            <w:hideMark/>
          </w:tcPr>
          <w:p w14:paraId="7097C1C8"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25" w:type="pct"/>
            <w:tcBorders>
              <w:top w:val="nil"/>
              <w:left w:val="nil"/>
              <w:bottom w:val="single" w:sz="4" w:space="0" w:color="auto"/>
              <w:right w:val="single" w:sz="4" w:space="0" w:color="auto"/>
            </w:tcBorders>
            <w:shd w:val="clear" w:color="auto" w:fill="auto"/>
            <w:noWrap/>
            <w:vAlign w:val="center"/>
            <w:hideMark/>
          </w:tcPr>
          <w:p w14:paraId="08F20DD8"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13" w:type="pct"/>
            <w:tcBorders>
              <w:top w:val="nil"/>
              <w:left w:val="nil"/>
              <w:bottom w:val="single" w:sz="4" w:space="0" w:color="auto"/>
              <w:right w:val="single" w:sz="4" w:space="0" w:color="auto"/>
            </w:tcBorders>
            <w:shd w:val="clear" w:color="auto" w:fill="auto"/>
            <w:noWrap/>
            <w:vAlign w:val="center"/>
            <w:hideMark/>
          </w:tcPr>
          <w:p w14:paraId="4909D86E" w14:textId="567F50DA" w:rsidR="003B7384" w:rsidRPr="00042F16" w:rsidRDefault="00C966F4" w:rsidP="005B0625">
            <w:pPr>
              <w:spacing w:after="0" w:line="240" w:lineRule="auto"/>
              <w:jc w:val="right"/>
              <w:rPr>
                <w:rFonts w:ascii="Verdana" w:hAnsi="Verdana"/>
                <w:b/>
                <w:sz w:val="20"/>
                <w:szCs w:val="20"/>
                <w:lang w:eastAsia="en-GB"/>
              </w:rPr>
            </w:pPr>
            <w:r>
              <w:rPr>
                <w:rFonts w:ascii="Verdana" w:hAnsi="Verdana"/>
                <w:b/>
                <w:sz w:val="20"/>
                <w:szCs w:val="20"/>
                <w:lang w:eastAsia="en-GB"/>
              </w:rPr>
              <w:t>2,3</w:t>
            </w:r>
          </w:p>
        </w:tc>
      </w:tr>
      <w:tr w:rsidR="003B7384" w:rsidRPr="00042F16" w14:paraId="3E6E7BB6" w14:textId="77777777" w:rsidTr="00C966F4">
        <w:trPr>
          <w:trHeight w:val="735"/>
        </w:trPr>
        <w:tc>
          <w:tcPr>
            <w:tcW w:w="1476" w:type="pct"/>
            <w:tcBorders>
              <w:top w:val="nil"/>
              <w:left w:val="single" w:sz="4" w:space="0" w:color="auto"/>
              <w:bottom w:val="single" w:sz="4" w:space="0" w:color="auto"/>
              <w:right w:val="single" w:sz="4" w:space="0" w:color="auto"/>
            </w:tcBorders>
            <w:shd w:val="clear" w:color="auto" w:fill="auto"/>
            <w:vAlign w:val="center"/>
            <w:hideMark/>
          </w:tcPr>
          <w:p w14:paraId="1EEBC4C7" w14:textId="77777777" w:rsidR="003B7384" w:rsidRPr="00042F16" w:rsidRDefault="003B7384"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Claims on institutions and corporates with a short-term credit assessment</w:t>
            </w:r>
          </w:p>
        </w:tc>
        <w:tc>
          <w:tcPr>
            <w:tcW w:w="590" w:type="pct"/>
            <w:tcBorders>
              <w:top w:val="nil"/>
              <w:left w:val="nil"/>
              <w:bottom w:val="single" w:sz="4" w:space="0" w:color="auto"/>
              <w:right w:val="single" w:sz="4" w:space="0" w:color="auto"/>
            </w:tcBorders>
            <w:shd w:val="clear" w:color="auto" w:fill="auto"/>
            <w:noWrap/>
            <w:vAlign w:val="center"/>
            <w:hideMark/>
          </w:tcPr>
          <w:p w14:paraId="55E8B965" w14:textId="110587EA" w:rsidR="003B7384"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47,1</w:t>
            </w:r>
          </w:p>
        </w:tc>
        <w:tc>
          <w:tcPr>
            <w:tcW w:w="567" w:type="pct"/>
            <w:tcBorders>
              <w:top w:val="nil"/>
              <w:left w:val="nil"/>
              <w:bottom w:val="single" w:sz="4" w:space="0" w:color="auto"/>
              <w:right w:val="single" w:sz="4" w:space="0" w:color="auto"/>
            </w:tcBorders>
            <w:shd w:val="clear" w:color="auto" w:fill="auto"/>
            <w:noWrap/>
            <w:vAlign w:val="center"/>
            <w:hideMark/>
          </w:tcPr>
          <w:p w14:paraId="5C1D2CE2"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36" w:type="pct"/>
            <w:tcBorders>
              <w:top w:val="nil"/>
              <w:left w:val="nil"/>
              <w:bottom w:val="single" w:sz="4" w:space="0" w:color="auto"/>
              <w:right w:val="single" w:sz="4" w:space="0" w:color="auto"/>
            </w:tcBorders>
            <w:shd w:val="clear" w:color="auto" w:fill="auto"/>
            <w:noWrap/>
            <w:vAlign w:val="center"/>
            <w:hideMark/>
          </w:tcPr>
          <w:p w14:paraId="664FC818"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92" w:type="pct"/>
            <w:tcBorders>
              <w:top w:val="nil"/>
              <w:left w:val="nil"/>
              <w:bottom w:val="single" w:sz="4" w:space="0" w:color="auto"/>
              <w:right w:val="single" w:sz="4" w:space="0" w:color="auto"/>
            </w:tcBorders>
            <w:shd w:val="clear" w:color="auto" w:fill="auto"/>
            <w:noWrap/>
            <w:vAlign w:val="center"/>
            <w:hideMark/>
          </w:tcPr>
          <w:p w14:paraId="1DBC3370"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25" w:type="pct"/>
            <w:tcBorders>
              <w:top w:val="nil"/>
              <w:left w:val="nil"/>
              <w:bottom w:val="single" w:sz="4" w:space="0" w:color="auto"/>
              <w:right w:val="single" w:sz="4" w:space="0" w:color="auto"/>
            </w:tcBorders>
            <w:shd w:val="clear" w:color="auto" w:fill="auto"/>
            <w:noWrap/>
            <w:vAlign w:val="center"/>
            <w:hideMark/>
          </w:tcPr>
          <w:p w14:paraId="580E06AF"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13" w:type="pct"/>
            <w:tcBorders>
              <w:top w:val="nil"/>
              <w:left w:val="nil"/>
              <w:bottom w:val="single" w:sz="4" w:space="0" w:color="auto"/>
              <w:right w:val="single" w:sz="4" w:space="0" w:color="auto"/>
            </w:tcBorders>
            <w:shd w:val="clear" w:color="auto" w:fill="auto"/>
            <w:noWrap/>
            <w:vAlign w:val="center"/>
            <w:hideMark/>
          </w:tcPr>
          <w:p w14:paraId="2D234DDA" w14:textId="224FADD0" w:rsidR="003B7384" w:rsidRPr="00042F16" w:rsidRDefault="00C966F4" w:rsidP="005B0625">
            <w:pPr>
              <w:spacing w:after="0" w:line="240" w:lineRule="auto"/>
              <w:jc w:val="right"/>
              <w:rPr>
                <w:rFonts w:ascii="Verdana" w:hAnsi="Verdana"/>
                <w:b/>
                <w:sz w:val="20"/>
                <w:szCs w:val="20"/>
                <w:lang w:eastAsia="en-GB"/>
              </w:rPr>
            </w:pPr>
            <w:r>
              <w:rPr>
                <w:rFonts w:ascii="Verdana" w:hAnsi="Verdana"/>
                <w:b/>
                <w:sz w:val="20"/>
                <w:szCs w:val="20"/>
                <w:lang w:eastAsia="en-GB"/>
              </w:rPr>
              <w:t>47,1</w:t>
            </w:r>
          </w:p>
        </w:tc>
      </w:tr>
      <w:tr w:rsidR="003B7384" w:rsidRPr="00042F16" w14:paraId="60C68C17" w14:textId="77777777" w:rsidTr="00C966F4">
        <w:trPr>
          <w:trHeight w:val="495"/>
        </w:trPr>
        <w:tc>
          <w:tcPr>
            <w:tcW w:w="1476" w:type="pct"/>
            <w:tcBorders>
              <w:top w:val="nil"/>
              <w:left w:val="single" w:sz="4" w:space="0" w:color="auto"/>
              <w:bottom w:val="single" w:sz="4" w:space="0" w:color="auto"/>
              <w:right w:val="single" w:sz="4" w:space="0" w:color="auto"/>
            </w:tcBorders>
            <w:shd w:val="clear" w:color="auto" w:fill="auto"/>
            <w:vAlign w:val="center"/>
            <w:hideMark/>
          </w:tcPr>
          <w:p w14:paraId="2F8CD4F4" w14:textId="77777777" w:rsidR="003B7384" w:rsidRPr="00042F16" w:rsidRDefault="003B7384"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Collective investments undertakings</w:t>
            </w:r>
          </w:p>
        </w:tc>
        <w:tc>
          <w:tcPr>
            <w:tcW w:w="590" w:type="pct"/>
            <w:tcBorders>
              <w:top w:val="nil"/>
              <w:left w:val="nil"/>
              <w:bottom w:val="single" w:sz="4" w:space="0" w:color="auto"/>
              <w:right w:val="single" w:sz="4" w:space="0" w:color="auto"/>
            </w:tcBorders>
            <w:shd w:val="clear" w:color="auto" w:fill="auto"/>
            <w:noWrap/>
            <w:vAlign w:val="center"/>
            <w:hideMark/>
          </w:tcPr>
          <w:p w14:paraId="48D25454"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67" w:type="pct"/>
            <w:tcBorders>
              <w:top w:val="nil"/>
              <w:left w:val="nil"/>
              <w:bottom w:val="single" w:sz="4" w:space="0" w:color="auto"/>
              <w:right w:val="single" w:sz="4" w:space="0" w:color="auto"/>
            </w:tcBorders>
            <w:shd w:val="clear" w:color="auto" w:fill="auto"/>
            <w:noWrap/>
            <w:vAlign w:val="center"/>
            <w:hideMark/>
          </w:tcPr>
          <w:p w14:paraId="47FA037D"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36" w:type="pct"/>
            <w:tcBorders>
              <w:top w:val="nil"/>
              <w:left w:val="nil"/>
              <w:bottom w:val="single" w:sz="4" w:space="0" w:color="auto"/>
              <w:right w:val="single" w:sz="4" w:space="0" w:color="auto"/>
            </w:tcBorders>
            <w:shd w:val="clear" w:color="auto" w:fill="auto"/>
            <w:noWrap/>
            <w:vAlign w:val="center"/>
            <w:hideMark/>
          </w:tcPr>
          <w:p w14:paraId="5D64BE9B"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92" w:type="pct"/>
            <w:tcBorders>
              <w:top w:val="nil"/>
              <w:left w:val="nil"/>
              <w:bottom w:val="single" w:sz="4" w:space="0" w:color="auto"/>
              <w:right w:val="single" w:sz="4" w:space="0" w:color="auto"/>
            </w:tcBorders>
            <w:shd w:val="clear" w:color="auto" w:fill="auto"/>
            <w:noWrap/>
            <w:vAlign w:val="center"/>
            <w:hideMark/>
          </w:tcPr>
          <w:p w14:paraId="7CF1253C"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25" w:type="pct"/>
            <w:tcBorders>
              <w:top w:val="nil"/>
              <w:left w:val="nil"/>
              <w:bottom w:val="single" w:sz="4" w:space="0" w:color="auto"/>
              <w:right w:val="single" w:sz="4" w:space="0" w:color="auto"/>
            </w:tcBorders>
            <w:shd w:val="clear" w:color="auto" w:fill="auto"/>
            <w:noWrap/>
            <w:vAlign w:val="center"/>
            <w:hideMark/>
          </w:tcPr>
          <w:p w14:paraId="4A2E6256" w14:textId="40DAC382" w:rsidR="003B7384"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11,1</w:t>
            </w:r>
          </w:p>
        </w:tc>
        <w:tc>
          <w:tcPr>
            <w:tcW w:w="513" w:type="pct"/>
            <w:tcBorders>
              <w:top w:val="nil"/>
              <w:left w:val="nil"/>
              <w:bottom w:val="single" w:sz="4" w:space="0" w:color="auto"/>
              <w:right w:val="single" w:sz="4" w:space="0" w:color="auto"/>
            </w:tcBorders>
            <w:shd w:val="clear" w:color="auto" w:fill="auto"/>
            <w:noWrap/>
            <w:vAlign w:val="center"/>
            <w:hideMark/>
          </w:tcPr>
          <w:p w14:paraId="707F5AAD" w14:textId="5FF39047" w:rsidR="003B7384" w:rsidRPr="00042F16" w:rsidRDefault="00204107" w:rsidP="005B0625">
            <w:pPr>
              <w:spacing w:after="0" w:line="240" w:lineRule="auto"/>
              <w:jc w:val="right"/>
              <w:rPr>
                <w:rFonts w:ascii="Verdana" w:hAnsi="Verdana"/>
                <w:b/>
                <w:sz w:val="20"/>
                <w:szCs w:val="20"/>
                <w:lang w:eastAsia="en-GB"/>
              </w:rPr>
            </w:pPr>
            <w:r w:rsidRPr="00042F16">
              <w:rPr>
                <w:rFonts w:ascii="Verdana" w:hAnsi="Verdana"/>
                <w:b/>
                <w:sz w:val="20"/>
                <w:szCs w:val="20"/>
                <w:lang w:eastAsia="en-GB"/>
              </w:rPr>
              <w:t>1</w:t>
            </w:r>
            <w:r w:rsidR="00C966F4">
              <w:rPr>
                <w:rFonts w:ascii="Verdana" w:hAnsi="Verdana"/>
                <w:b/>
                <w:sz w:val="20"/>
                <w:szCs w:val="20"/>
                <w:lang w:eastAsia="en-GB"/>
              </w:rPr>
              <w:t>1,1</w:t>
            </w:r>
          </w:p>
        </w:tc>
      </w:tr>
      <w:tr w:rsidR="003B7384" w:rsidRPr="00042F16" w14:paraId="1B3BAA99" w14:textId="77777777" w:rsidTr="00C966F4">
        <w:trPr>
          <w:trHeight w:val="300"/>
        </w:trPr>
        <w:tc>
          <w:tcPr>
            <w:tcW w:w="1476" w:type="pct"/>
            <w:tcBorders>
              <w:top w:val="nil"/>
              <w:left w:val="single" w:sz="4" w:space="0" w:color="auto"/>
              <w:bottom w:val="single" w:sz="4" w:space="0" w:color="auto"/>
              <w:right w:val="single" w:sz="4" w:space="0" w:color="auto"/>
            </w:tcBorders>
            <w:shd w:val="clear" w:color="auto" w:fill="auto"/>
            <w:vAlign w:val="center"/>
            <w:hideMark/>
          </w:tcPr>
          <w:p w14:paraId="225C4D4A" w14:textId="77777777" w:rsidR="003B7384" w:rsidRPr="00042F16" w:rsidRDefault="003B7384" w:rsidP="005B0625">
            <w:pPr>
              <w:spacing w:after="0" w:line="240" w:lineRule="auto"/>
              <w:jc w:val="left"/>
              <w:rPr>
                <w:rFonts w:ascii="Verdana" w:hAnsi="Verdana"/>
                <w:sz w:val="20"/>
                <w:szCs w:val="20"/>
                <w:lang w:eastAsia="en-GB"/>
              </w:rPr>
            </w:pPr>
            <w:r w:rsidRPr="00042F16">
              <w:rPr>
                <w:rFonts w:ascii="Verdana" w:hAnsi="Verdana"/>
                <w:sz w:val="20"/>
                <w:szCs w:val="20"/>
                <w:lang w:eastAsia="en-GB"/>
              </w:rPr>
              <w:t>Other exposures</w:t>
            </w:r>
          </w:p>
        </w:tc>
        <w:tc>
          <w:tcPr>
            <w:tcW w:w="590" w:type="pct"/>
            <w:tcBorders>
              <w:top w:val="nil"/>
              <w:left w:val="nil"/>
              <w:bottom w:val="single" w:sz="4" w:space="0" w:color="auto"/>
              <w:right w:val="single" w:sz="4" w:space="0" w:color="auto"/>
            </w:tcBorders>
            <w:shd w:val="clear" w:color="auto" w:fill="auto"/>
            <w:noWrap/>
            <w:vAlign w:val="center"/>
            <w:hideMark/>
          </w:tcPr>
          <w:p w14:paraId="4A0DCA54" w14:textId="45DF2A5E" w:rsidR="003B7384" w:rsidRPr="00042F16" w:rsidRDefault="00FA0B51"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67" w:type="pct"/>
            <w:tcBorders>
              <w:top w:val="nil"/>
              <w:left w:val="nil"/>
              <w:bottom w:val="single" w:sz="4" w:space="0" w:color="auto"/>
              <w:right w:val="single" w:sz="4" w:space="0" w:color="auto"/>
            </w:tcBorders>
            <w:shd w:val="clear" w:color="auto" w:fill="auto"/>
            <w:noWrap/>
            <w:vAlign w:val="center"/>
            <w:hideMark/>
          </w:tcPr>
          <w:p w14:paraId="0E17C612"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36" w:type="pct"/>
            <w:tcBorders>
              <w:top w:val="nil"/>
              <w:left w:val="nil"/>
              <w:bottom w:val="single" w:sz="4" w:space="0" w:color="auto"/>
              <w:right w:val="single" w:sz="4" w:space="0" w:color="auto"/>
            </w:tcBorders>
            <w:shd w:val="clear" w:color="auto" w:fill="auto"/>
            <w:noWrap/>
            <w:vAlign w:val="center"/>
            <w:hideMark/>
          </w:tcPr>
          <w:p w14:paraId="411653F1" w14:textId="1D692E2B" w:rsidR="003B7384" w:rsidRPr="00042F16" w:rsidRDefault="00FA0B51"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592" w:type="pct"/>
            <w:tcBorders>
              <w:top w:val="nil"/>
              <w:left w:val="nil"/>
              <w:bottom w:val="single" w:sz="4" w:space="0" w:color="auto"/>
              <w:right w:val="single" w:sz="4" w:space="0" w:color="auto"/>
            </w:tcBorders>
            <w:shd w:val="clear" w:color="auto" w:fill="auto"/>
            <w:noWrap/>
            <w:vAlign w:val="center"/>
            <w:hideMark/>
          </w:tcPr>
          <w:p w14:paraId="109F0F42" w14:textId="77777777" w:rsidR="003B7384" w:rsidRPr="00042F16" w:rsidRDefault="003B7384" w:rsidP="005B0625">
            <w:pPr>
              <w:spacing w:after="0" w:line="240" w:lineRule="auto"/>
              <w:jc w:val="right"/>
              <w:rPr>
                <w:rFonts w:ascii="Verdana" w:hAnsi="Verdana"/>
                <w:sz w:val="20"/>
                <w:szCs w:val="20"/>
                <w:lang w:eastAsia="en-GB"/>
              </w:rPr>
            </w:pPr>
            <w:r w:rsidRPr="00042F16">
              <w:rPr>
                <w:rFonts w:ascii="Verdana" w:hAnsi="Verdana"/>
                <w:sz w:val="20"/>
                <w:szCs w:val="20"/>
                <w:lang w:eastAsia="en-GB"/>
              </w:rPr>
              <w:t>0</w:t>
            </w:r>
          </w:p>
        </w:tc>
        <w:tc>
          <w:tcPr>
            <w:tcW w:w="625" w:type="pct"/>
            <w:tcBorders>
              <w:top w:val="nil"/>
              <w:left w:val="nil"/>
              <w:bottom w:val="single" w:sz="4" w:space="0" w:color="auto"/>
              <w:right w:val="single" w:sz="4" w:space="0" w:color="auto"/>
            </w:tcBorders>
            <w:shd w:val="clear" w:color="auto" w:fill="auto"/>
            <w:noWrap/>
            <w:vAlign w:val="center"/>
            <w:hideMark/>
          </w:tcPr>
          <w:p w14:paraId="41190E20" w14:textId="21AB6C15" w:rsidR="003B7384" w:rsidRPr="00042F16" w:rsidRDefault="00C966F4" w:rsidP="005B0625">
            <w:pPr>
              <w:spacing w:after="0" w:line="240" w:lineRule="auto"/>
              <w:jc w:val="right"/>
              <w:rPr>
                <w:rFonts w:ascii="Verdana" w:hAnsi="Verdana"/>
                <w:sz w:val="20"/>
                <w:szCs w:val="20"/>
                <w:lang w:eastAsia="en-GB"/>
              </w:rPr>
            </w:pPr>
            <w:r>
              <w:rPr>
                <w:rFonts w:ascii="Verdana" w:hAnsi="Verdana"/>
                <w:sz w:val="20"/>
                <w:szCs w:val="20"/>
                <w:lang w:eastAsia="en-GB"/>
              </w:rPr>
              <w:t>19,6</w:t>
            </w:r>
          </w:p>
        </w:tc>
        <w:tc>
          <w:tcPr>
            <w:tcW w:w="513" w:type="pct"/>
            <w:tcBorders>
              <w:top w:val="nil"/>
              <w:left w:val="nil"/>
              <w:bottom w:val="single" w:sz="4" w:space="0" w:color="auto"/>
              <w:right w:val="single" w:sz="4" w:space="0" w:color="auto"/>
            </w:tcBorders>
            <w:shd w:val="clear" w:color="auto" w:fill="auto"/>
            <w:noWrap/>
            <w:vAlign w:val="center"/>
            <w:hideMark/>
          </w:tcPr>
          <w:p w14:paraId="793FAF79" w14:textId="04700FB1" w:rsidR="003B7384" w:rsidRPr="00042F16" w:rsidRDefault="00C966F4" w:rsidP="005B0625">
            <w:pPr>
              <w:spacing w:after="0" w:line="240" w:lineRule="auto"/>
              <w:jc w:val="right"/>
              <w:rPr>
                <w:rFonts w:ascii="Verdana" w:hAnsi="Verdana"/>
                <w:b/>
                <w:sz w:val="20"/>
                <w:szCs w:val="20"/>
                <w:lang w:eastAsia="en-GB"/>
              </w:rPr>
            </w:pPr>
            <w:r>
              <w:rPr>
                <w:rFonts w:ascii="Verdana" w:hAnsi="Verdana"/>
                <w:b/>
                <w:sz w:val="20"/>
                <w:szCs w:val="20"/>
                <w:lang w:eastAsia="en-GB"/>
              </w:rPr>
              <w:t>19,6</w:t>
            </w:r>
          </w:p>
        </w:tc>
      </w:tr>
      <w:tr w:rsidR="003B7384" w:rsidRPr="00042F16" w14:paraId="6D5B0DAD" w14:textId="77777777" w:rsidTr="00C966F4">
        <w:trPr>
          <w:trHeight w:val="300"/>
        </w:trPr>
        <w:tc>
          <w:tcPr>
            <w:tcW w:w="1476" w:type="pct"/>
            <w:tcBorders>
              <w:top w:val="nil"/>
              <w:left w:val="single" w:sz="4" w:space="0" w:color="auto"/>
              <w:bottom w:val="single" w:sz="4" w:space="0" w:color="auto"/>
              <w:right w:val="single" w:sz="4" w:space="0" w:color="auto"/>
            </w:tcBorders>
            <w:shd w:val="clear" w:color="auto" w:fill="auto"/>
            <w:noWrap/>
            <w:vAlign w:val="center"/>
            <w:hideMark/>
          </w:tcPr>
          <w:p w14:paraId="27034E43" w14:textId="77777777" w:rsidR="003B7384" w:rsidRPr="00042F16" w:rsidRDefault="003B7384" w:rsidP="005B0625">
            <w:pPr>
              <w:spacing w:after="0" w:line="240" w:lineRule="auto"/>
              <w:jc w:val="left"/>
              <w:rPr>
                <w:rFonts w:ascii="Verdana" w:hAnsi="Verdana"/>
                <w:b/>
                <w:sz w:val="20"/>
                <w:szCs w:val="20"/>
                <w:lang w:eastAsia="en-GB"/>
              </w:rPr>
            </w:pPr>
            <w:r w:rsidRPr="00042F16">
              <w:rPr>
                <w:rFonts w:ascii="Verdana" w:hAnsi="Verdana"/>
                <w:b/>
                <w:sz w:val="20"/>
                <w:szCs w:val="20"/>
                <w:lang w:eastAsia="en-GB"/>
              </w:rPr>
              <w:t>Total</w:t>
            </w:r>
          </w:p>
        </w:tc>
        <w:tc>
          <w:tcPr>
            <w:tcW w:w="590" w:type="pct"/>
            <w:tcBorders>
              <w:top w:val="nil"/>
              <w:left w:val="nil"/>
              <w:bottom w:val="single" w:sz="4" w:space="0" w:color="auto"/>
              <w:right w:val="single" w:sz="4" w:space="0" w:color="auto"/>
            </w:tcBorders>
            <w:shd w:val="clear" w:color="auto" w:fill="auto"/>
            <w:noWrap/>
            <w:vAlign w:val="center"/>
            <w:hideMark/>
          </w:tcPr>
          <w:p w14:paraId="44DE16BD" w14:textId="0E89ED10" w:rsidR="003B7384" w:rsidRPr="00042F16" w:rsidRDefault="00C966F4" w:rsidP="005B0625">
            <w:pPr>
              <w:spacing w:after="0" w:line="240" w:lineRule="auto"/>
              <w:jc w:val="right"/>
              <w:rPr>
                <w:rFonts w:ascii="Verdana" w:hAnsi="Verdana"/>
                <w:b/>
                <w:sz w:val="20"/>
                <w:szCs w:val="20"/>
                <w:lang w:eastAsia="en-GB"/>
              </w:rPr>
            </w:pPr>
            <w:r>
              <w:rPr>
                <w:rFonts w:ascii="Verdana" w:hAnsi="Verdana"/>
                <w:b/>
                <w:sz w:val="20"/>
                <w:szCs w:val="20"/>
                <w:lang w:eastAsia="en-GB"/>
              </w:rPr>
              <w:t>47,1</w:t>
            </w:r>
          </w:p>
        </w:tc>
        <w:tc>
          <w:tcPr>
            <w:tcW w:w="567" w:type="pct"/>
            <w:tcBorders>
              <w:top w:val="nil"/>
              <w:left w:val="nil"/>
              <w:bottom w:val="single" w:sz="4" w:space="0" w:color="auto"/>
              <w:right w:val="single" w:sz="4" w:space="0" w:color="auto"/>
            </w:tcBorders>
            <w:shd w:val="clear" w:color="auto" w:fill="auto"/>
            <w:noWrap/>
            <w:vAlign w:val="center"/>
            <w:hideMark/>
          </w:tcPr>
          <w:p w14:paraId="171B258F" w14:textId="361B8F73" w:rsidR="003B7384" w:rsidRPr="00042F16" w:rsidRDefault="00DF5798" w:rsidP="005B0625">
            <w:pPr>
              <w:spacing w:after="0" w:line="240" w:lineRule="auto"/>
              <w:jc w:val="right"/>
              <w:rPr>
                <w:rFonts w:ascii="Verdana" w:hAnsi="Verdana"/>
                <w:b/>
                <w:sz w:val="20"/>
                <w:szCs w:val="20"/>
                <w:lang w:eastAsia="en-GB"/>
              </w:rPr>
            </w:pPr>
            <w:r w:rsidRPr="00042F16">
              <w:rPr>
                <w:rFonts w:ascii="Verdana" w:hAnsi="Verdana"/>
                <w:b/>
                <w:sz w:val="20"/>
                <w:szCs w:val="20"/>
                <w:lang w:eastAsia="en-GB"/>
              </w:rPr>
              <w:t>0</w:t>
            </w:r>
          </w:p>
        </w:tc>
        <w:tc>
          <w:tcPr>
            <w:tcW w:w="636" w:type="pct"/>
            <w:tcBorders>
              <w:top w:val="nil"/>
              <w:left w:val="nil"/>
              <w:bottom w:val="single" w:sz="4" w:space="0" w:color="auto"/>
              <w:right w:val="single" w:sz="4" w:space="0" w:color="auto"/>
            </w:tcBorders>
            <w:shd w:val="clear" w:color="auto" w:fill="auto"/>
            <w:noWrap/>
            <w:vAlign w:val="center"/>
            <w:hideMark/>
          </w:tcPr>
          <w:p w14:paraId="077C8AB6" w14:textId="4D72EDF2" w:rsidR="003B7384" w:rsidRPr="00042F16" w:rsidRDefault="00C966F4" w:rsidP="005B0625">
            <w:pPr>
              <w:spacing w:after="0" w:line="240" w:lineRule="auto"/>
              <w:jc w:val="right"/>
              <w:rPr>
                <w:rFonts w:ascii="Verdana" w:hAnsi="Verdana"/>
                <w:b/>
                <w:sz w:val="20"/>
                <w:szCs w:val="20"/>
                <w:lang w:eastAsia="en-GB"/>
              </w:rPr>
            </w:pPr>
            <w:r>
              <w:rPr>
                <w:rFonts w:ascii="Verdana" w:hAnsi="Verdana"/>
                <w:b/>
                <w:sz w:val="20"/>
                <w:szCs w:val="20"/>
                <w:lang w:eastAsia="en-GB"/>
              </w:rPr>
              <w:t>2,3</w:t>
            </w:r>
          </w:p>
        </w:tc>
        <w:tc>
          <w:tcPr>
            <w:tcW w:w="592" w:type="pct"/>
            <w:tcBorders>
              <w:top w:val="nil"/>
              <w:left w:val="nil"/>
              <w:bottom w:val="single" w:sz="4" w:space="0" w:color="auto"/>
              <w:right w:val="single" w:sz="4" w:space="0" w:color="auto"/>
            </w:tcBorders>
            <w:shd w:val="clear" w:color="auto" w:fill="auto"/>
            <w:noWrap/>
            <w:vAlign w:val="center"/>
            <w:hideMark/>
          </w:tcPr>
          <w:p w14:paraId="4FE21E97" w14:textId="77777777" w:rsidR="003B7384" w:rsidRPr="00042F16" w:rsidRDefault="003B7384" w:rsidP="005B0625">
            <w:pPr>
              <w:spacing w:after="0" w:line="240" w:lineRule="auto"/>
              <w:jc w:val="right"/>
              <w:rPr>
                <w:rFonts w:ascii="Verdana" w:hAnsi="Verdana"/>
                <w:b/>
                <w:sz w:val="20"/>
                <w:szCs w:val="20"/>
                <w:lang w:eastAsia="en-GB"/>
              </w:rPr>
            </w:pPr>
            <w:r w:rsidRPr="00042F16">
              <w:rPr>
                <w:rFonts w:ascii="Verdana" w:hAnsi="Verdana"/>
                <w:b/>
                <w:sz w:val="20"/>
                <w:szCs w:val="20"/>
                <w:lang w:eastAsia="en-GB"/>
              </w:rPr>
              <w:t>0</w:t>
            </w:r>
          </w:p>
        </w:tc>
        <w:tc>
          <w:tcPr>
            <w:tcW w:w="625" w:type="pct"/>
            <w:tcBorders>
              <w:top w:val="nil"/>
              <w:left w:val="nil"/>
              <w:bottom w:val="single" w:sz="4" w:space="0" w:color="auto"/>
              <w:right w:val="single" w:sz="4" w:space="0" w:color="auto"/>
            </w:tcBorders>
            <w:shd w:val="clear" w:color="auto" w:fill="auto"/>
            <w:noWrap/>
            <w:vAlign w:val="center"/>
            <w:hideMark/>
          </w:tcPr>
          <w:p w14:paraId="30BC62B8" w14:textId="664A3442" w:rsidR="003B7384" w:rsidRPr="00042F16" w:rsidRDefault="00C966F4" w:rsidP="005B0625">
            <w:pPr>
              <w:spacing w:after="0" w:line="240" w:lineRule="auto"/>
              <w:jc w:val="right"/>
              <w:rPr>
                <w:rFonts w:ascii="Verdana" w:hAnsi="Verdana"/>
                <w:b/>
                <w:sz w:val="20"/>
                <w:szCs w:val="20"/>
                <w:lang w:eastAsia="en-GB"/>
              </w:rPr>
            </w:pPr>
            <w:r>
              <w:rPr>
                <w:rFonts w:ascii="Verdana" w:hAnsi="Verdana"/>
                <w:b/>
                <w:sz w:val="20"/>
                <w:szCs w:val="20"/>
                <w:lang w:eastAsia="en-GB"/>
              </w:rPr>
              <w:t>30,7</w:t>
            </w:r>
          </w:p>
        </w:tc>
        <w:tc>
          <w:tcPr>
            <w:tcW w:w="513" w:type="pct"/>
            <w:tcBorders>
              <w:top w:val="nil"/>
              <w:left w:val="nil"/>
              <w:bottom w:val="single" w:sz="4" w:space="0" w:color="auto"/>
              <w:right w:val="single" w:sz="4" w:space="0" w:color="auto"/>
            </w:tcBorders>
            <w:shd w:val="clear" w:color="auto" w:fill="auto"/>
            <w:noWrap/>
            <w:vAlign w:val="center"/>
            <w:hideMark/>
          </w:tcPr>
          <w:p w14:paraId="4623FAD8" w14:textId="497C9BC8" w:rsidR="003B7384" w:rsidRPr="00042F16" w:rsidRDefault="00C966F4" w:rsidP="005B0625">
            <w:pPr>
              <w:spacing w:after="0" w:line="240" w:lineRule="auto"/>
              <w:jc w:val="right"/>
              <w:rPr>
                <w:rFonts w:ascii="Verdana" w:hAnsi="Verdana"/>
                <w:b/>
                <w:sz w:val="20"/>
                <w:szCs w:val="20"/>
                <w:lang w:eastAsia="en-GB"/>
              </w:rPr>
            </w:pPr>
            <w:r>
              <w:rPr>
                <w:rFonts w:ascii="Verdana" w:hAnsi="Verdana"/>
                <w:b/>
                <w:sz w:val="20"/>
                <w:szCs w:val="20"/>
                <w:lang w:eastAsia="en-GB"/>
              </w:rPr>
              <w:t>80,0</w:t>
            </w:r>
          </w:p>
        </w:tc>
      </w:tr>
    </w:tbl>
    <w:p w14:paraId="1ADDFED0" w14:textId="77777777" w:rsidR="008D1215" w:rsidRPr="00042F16" w:rsidRDefault="008D1215" w:rsidP="005B0625">
      <w:pPr>
        <w:spacing w:after="0" w:line="240" w:lineRule="auto"/>
        <w:rPr>
          <w:rFonts w:ascii="Verdana" w:hAnsi="Verdana"/>
          <w:sz w:val="20"/>
          <w:szCs w:val="20"/>
        </w:rPr>
      </w:pPr>
    </w:p>
    <w:p w14:paraId="5816EC7B" w14:textId="2EC5639F" w:rsidR="00DF5798" w:rsidRPr="005B0625" w:rsidRDefault="005B0625" w:rsidP="005B0625">
      <w:pPr>
        <w:pStyle w:val="Heading3"/>
        <w:spacing w:before="0" w:line="240" w:lineRule="auto"/>
        <w:ind w:left="567" w:hanging="567"/>
        <w:rPr>
          <w:rFonts w:ascii="Verdana" w:hAnsi="Verdana"/>
          <w:b/>
          <w:color w:val="6CACE4"/>
          <w:sz w:val="22"/>
          <w:szCs w:val="22"/>
        </w:rPr>
      </w:pPr>
      <w:bookmarkStart w:id="57" w:name="_Toc22716596"/>
      <w:r>
        <w:rPr>
          <w:rFonts w:ascii="Verdana" w:hAnsi="Verdana"/>
          <w:b/>
          <w:color w:val="6CACE4"/>
          <w:sz w:val="22"/>
          <w:szCs w:val="22"/>
        </w:rPr>
        <w:lastRenderedPageBreak/>
        <w:t xml:space="preserve"> </w:t>
      </w:r>
      <w:r w:rsidR="00DF5798" w:rsidRPr="005B0625">
        <w:rPr>
          <w:rFonts w:ascii="Verdana" w:hAnsi="Verdana"/>
          <w:b/>
          <w:color w:val="6CACE4"/>
          <w:sz w:val="22"/>
          <w:szCs w:val="22"/>
        </w:rPr>
        <w:t>Past due and impaired exposures (Art.442 of CRR)</w:t>
      </w:r>
      <w:bookmarkEnd w:id="57"/>
    </w:p>
    <w:p w14:paraId="2F716937" w14:textId="77777777" w:rsidR="005B0625" w:rsidRPr="005B0625" w:rsidRDefault="005B0625" w:rsidP="005B0625">
      <w:pPr>
        <w:spacing w:after="0" w:line="240" w:lineRule="auto"/>
      </w:pPr>
    </w:p>
    <w:p w14:paraId="4B810D80" w14:textId="67A3CA96" w:rsidR="00DF5798" w:rsidRPr="00042F16" w:rsidRDefault="00DF5798" w:rsidP="005B0625">
      <w:pPr>
        <w:spacing w:after="0" w:line="240" w:lineRule="auto"/>
        <w:rPr>
          <w:rFonts w:ascii="Verdana" w:hAnsi="Verdana"/>
          <w:sz w:val="20"/>
          <w:szCs w:val="20"/>
        </w:rPr>
      </w:pPr>
      <w:r w:rsidRPr="00042F16">
        <w:rPr>
          <w:rFonts w:ascii="Verdana" w:hAnsi="Verdana"/>
          <w:sz w:val="20"/>
          <w:szCs w:val="20"/>
        </w:rPr>
        <w:t xml:space="preserve">Financial assets are impaired when objective evidence demonstrates that a loss event has occurred after the initial recognition of the asset, and that the loss event has an impact on the future cash flows of the asset that can be estimated reliably. </w:t>
      </w:r>
    </w:p>
    <w:p w14:paraId="119FD940" w14:textId="58BB2EEA" w:rsidR="009B4673" w:rsidRDefault="0060275C" w:rsidP="005B0625">
      <w:pPr>
        <w:spacing w:after="0" w:line="240" w:lineRule="auto"/>
        <w:rPr>
          <w:rFonts w:ascii="Verdana" w:hAnsi="Verdana"/>
          <w:sz w:val="20"/>
          <w:szCs w:val="20"/>
        </w:rPr>
      </w:pPr>
      <w:r>
        <w:rPr>
          <w:rFonts w:ascii="Verdana" w:hAnsi="Verdana"/>
          <w:sz w:val="20"/>
          <w:szCs w:val="20"/>
        </w:rPr>
        <w:t>As at 31 December 2019</w:t>
      </w:r>
      <w:r w:rsidR="009B4673" w:rsidRPr="00042F16">
        <w:rPr>
          <w:rFonts w:ascii="Verdana" w:hAnsi="Verdana"/>
          <w:sz w:val="20"/>
          <w:szCs w:val="20"/>
        </w:rPr>
        <w:t xml:space="preserve">, </w:t>
      </w:r>
      <w:r w:rsidR="00DF0FC6" w:rsidRPr="00042F16">
        <w:rPr>
          <w:rFonts w:ascii="Verdana" w:hAnsi="Verdana"/>
          <w:sz w:val="20"/>
          <w:szCs w:val="20"/>
        </w:rPr>
        <w:t>t</w:t>
      </w:r>
      <w:r w:rsidR="002F2ED1" w:rsidRPr="00042F16">
        <w:rPr>
          <w:rFonts w:ascii="Verdana" w:hAnsi="Verdana"/>
          <w:sz w:val="20"/>
          <w:szCs w:val="20"/>
        </w:rPr>
        <w:t>he Company</w:t>
      </w:r>
      <w:r w:rsidR="009B4673" w:rsidRPr="00042F16">
        <w:rPr>
          <w:rFonts w:ascii="Verdana" w:hAnsi="Verdana"/>
          <w:sz w:val="20"/>
          <w:szCs w:val="20"/>
        </w:rPr>
        <w:t xml:space="preserve"> does not have any past due or impaired exposures.</w:t>
      </w:r>
    </w:p>
    <w:p w14:paraId="2CDE400B" w14:textId="77777777" w:rsidR="005B0625" w:rsidRPr="00042F16" w:rsidRDefault="005B0625" w:rsidP="005B0625">
      <w:pPr>
        <w:spacing w:after="0" w:line="240" w:lineRule="auto"/>
        <w:rPr>
          <w:rFonts w:ascii="Verdana" w:hAnsi="Verdana"/>
          <w:sz w:val="20"/>
          <w:szCs w:val="20"/>
        </w:rPr>
      </w:pPr>
    </w:p>
    <w:p w14:paraId="7CF67D00" w14:textId="658B9337" w:rsidR="004750E9" w:rsidRPr="005B0625" w:rsidRDefault="005B0625" w:rsidP="005B0625">
      <w:pPr>
        <w:pStyle w:val="Heading3"/>
        <w:spacing w:before="0" w:line="240" w:lineRule="auto"/>
        <w:ind w:left="567" w:hanging="567"/>
        <w:rPr>
          <w:rFonts w:ascii="Verdana" w:hAnsi="Verdana"/>
          <w:b/>
          <w:color w:val="6CACE4"/>
          <w:sz w:val="22"/>
          <w:szCs w:val="22"/>
        </w:rPr>
      </w:pPr>
      <w:bookmarkStart w:id="58" w:name="_Toc20822948"/>
      <w:bookmarkStart w:id="59" w:name="_Toc21277400"/>
      <w:bookmarkStart w:id="60" w:name="_Toc21599546"/>
      <w:bookmarkStart w:id="61" w:name="_Toc21617394"/>
      <w:bookmarkStart w:id="62" w:name="_Toc20823122"/>
      <w:bookmarkStart w:id="63" w:name="_Toc21277574"/>
      <w:bookmarkStart w:id="64" w:name="_Toc21599720"/>
      <w:bookmarkStart w:id="65" w:name="_Toc21617568"/>
      <w:bookmarkStart w:id="66" w:name="_Toc22716597"/>
      <w:bookmarkEnd w:id="58"/>
      <w:bookmarkEnd w:id="59"/>
      <w:bookmarkEnd w:id="60"/>
      <w:bookmarkEnd w:id="61"/>
      <w:bookmarkEnd w:id="62"/>
      <w:bookmarkEnd w:id="63"/>
      <w:bookmarkEnd w:id="64"/>
      <w:bookmarkEnd w:id="65"/>
      <w:r>
        <w:rPr>
          <w:rFonts w:ascii="Verdana" w:hAnsi="Verdana"/>
          <w:b/>
          <w:color w:val="6CACE4"/>
          <w:sz w:val="22"/>
          <w:szCs w:val="22"/>
        </w:rPr>
        <w:t xml:space="preserve"> </w:t>
      </w:r>
      <w:r w:rsidR="00667932" w:rsidRPr="005B0625">
        <w:rPr>
          <w:rFonts w:ascii="Verdana" w:hAnsi="Verdana"/>
          <w:b/>
          <w:color w:val="6CACE4"/>
          <w:sz w:val="22"/>
          <w:szCs w:val="22"/>
        </w:rPr>
        <w:t>Use of ECAIs (Art 444 of CRR)</w:t>
      </w:r>
      <w:bookmarkEnd w:id="66"/>
    </w:p>
    <w:p w14:paraId="7C80A102" w14:textId="77777777" w:rsidR="005B0625" w:rsidRPr="005B0625" w:rsidRDefault="005B0625" w:rsidP="005B0625">
      <w:pPr>
        <w:spacing w:after="0" w:line="240" w:lineRule="auto"/>
      </w:pPr>
    </w:p>
    <w:p w14:paraId="16873C70" w14:textId="54120544" w:rsidR="00667932" w:rsidRPr="00042F16" w:rsidRDefault="00B532CF" w:rsidP="005B0625">
      <w:pPr>
        <w:spacing w:after="0" w:line="240" w:lineRule="auto"/>
        <w:rPr>
          <w:rFonts w:ascii="Verdana" w:hAnsi="Verdana"/>
          <w:sz w:val="20"/>
          <w:szCs w:val="20"/>
        </w:rPr>
      </w:pPr>
      <w:r w:rsidRPr="00042F16">
        <w:rPr>
          <w:rFonts w:ascii="Verdana" w:hAnsi="Verdana"/>
          <w:sz w:val="20"/>
          <w:szCs w:val="20"/>
        </w:rPr>
        <w:t xml:space="preserve">The </w:t>
      </w:r>
      <w:r w:rsidR="00753CB9" w:rsidRPr="00042F16">
        <w:rPr>
          <w:rFonts w:ascii="Verdana" w:hAnsi="Verdana"/>
          <w:sz w:val="20"/>
          <w:szCs w:val="20"/>
        </w:rPr>
        <w:t xml:space="preserve">Company </w:t>
      </w:r>
      <w:r w:rsidRPr="00042F16">
        <w:rPr>
          <w:rFonts w:ascii="Verdana" w:hAnsi="Verdana"/>
          <w:sz w:val="20"/>
          <w:szCs w:val="20"/>
        </w:rPr>
        <w:t>does not use rating agencies</w:t>
      </w:r>
      <w:r w:rsidR="00056D98" w:rsidRPr="00042F16">
        <w:rPr>
          <w:rFonts w:ascii="Verdana" w:hAnsi="Verdana"/>
          <w:sz w:val="20"/>
          <w:szCs w:val="20"/>
        </w:rPr>
        <w:t xml:space="preserve"> for credit risk calculation purpose. This section is therefore not applicable.</w:t>
      </w:r>
    </w:p>
    <w:p w14:paraId="1E41F530" w14:textId="77777777" w:rsidR="0045405F" w:rsidRPr="00042F16" w:rsidRDefault="0045405F" w:rsidP="005B0625">
      <w:pPr>
        <w:spacing w:after="0" w:line="240" w:lineRule="auto"/>
        <w:rPr>
          <w:rFonts w:ascii="Verdana" w:hAnsi="Verdana"/>
          <w:sz w:val="20"/>
          <w:szCs w:val="20"/>
        </w:rPr>
      </w:pPr>
    </w:p>
    <w:p w14:paraId="327D1538" w14:textId="22901D9A" w:rsidR="00B532CF" w:rsidRPr="005B0625" w:rsidRDefault="00176212" w:rsidP="005B0625">
      <w:pPr>
        <w:pStyle w:val="Heading2"/>
        <w:spacing w:before="0" w:line="240" w:lineRule="auto"/>
        <w:ind w:left="567" w:hanging="567"/>
        <w:rPr>
          <w:rFonts w:ascii="Verdana" w:hAnsi="Verdana"/>
          <w:b/>
          <w:color w:val="6CACE4"/>
          <w:sz w:val="22"/>
          <w:szCs w:val="22"/>
        </w:rPr>
      </w:pPr>
      <w:bookmarkStart w:id="67" w:name="_Toc22716598"/>
      <w:r w:rsidRPr="005B0625">
        <w:rPr>
          <w:rFonts w:ascii="Verdana" w:hAnsi="Verdana"/>
          <w:b/>
          <w:color w:val="6CACE4"/>
          <w:sz w:val="22"/>
          <w:szCs w:val="22"/>
        </w:rPr>
        <w:t xml:space="preserve">Counterparty &amp; </w:t>
      </w:r>
      <w:r w:rsidR="00CB1DA9" w:rsidRPr="005B0625">
        <w:rPr>
          <w:rFonts w:ascii="Verdana" w:hAnsi="Verdana"/>
          <w:b/>
          <w:color w:val="6CACE4"/>
          <w:sz w:val="22"/>
          <w:szCs w:val="22"/>
        </w:rPr>
        <w:t>Depositary</w:t>
      </w:r>
      <w:r w:rsidR="00B532CF" w:rsidRPr="005B0625">
        <w:rPr>
          <w:rFonts w:ascii="Verdana" w:hAnsi="Verdana"/>
          <w:b/>
          <w:color w:val="6CACE4"/>
          <w:sz w:val="22"/>
          <w:szCs w:val="22"/>
        </w:rPr>
        <w:t xml:space="preserve"> risk</w:t>
      </w:r>
      <w:bookmarkEnd w:id="67"/>
    </w:p>
    <w:p w14:paraId="6DADB865" w14:textId="77777777" w:rsidR="005B0625" w:rsidRPr="005B0625" w:rsidRDefault="005B0625" w:rsidP="005B0625">
      <w:pPr>
        <w:spacing w:after="0" w:line="240" w:lineRule="auto"/>
      </w:pPr>
    </w:p>
    <w:p w14:paraId="523A6146" w14:textId="7758375C" w:rsidR="00FE2AFF" w:rsidRPr="00042F16" w:rsidRDefault="00B532CF" w:rsidP="005B0625">
      <w:pPr>
        <w:spacing w:after="0" w:line="240" w:lineRule="auto"/>
        <w:rPr>
          <w:rFonts w:ascii="Verdana" w:hAnsi="Verdana"/>
          <w:sz w:val="20"/>
          <w:szCs w:val="20"/>
        </w:rPr>
      </w:pPr>
      <w:r w:rsidRPr="00042F16">
        <w:rPr>
          <w:rFonts w:ascii="Verdana" w:hAnsi="Verdana"/>
          <w:sz w:val="20"/>
          <w:szCs w:val="20"/>
        </w:rPr>
        <w:t>The</w:t>
      </w:r>
      <w:r w:rsidR="00CB1DA9" w:rsidRPr="00042F16">
        <w:rPr>
          <w:rFonts w:ascii="Verdana" w:hAnsi="Verdana"/>
          <w:sz w:val="20"/>
          <w:szCs w:val="20"/>
        </w:rPr>
        <w:t xml:space="preserve"> depositary</w:t>
      </w:r>
      <w:r w:rsidRPr="00042F16">
        <w:rPr>
          <w:rFonts w:ascii="Verdana" w:hAnsi="Verdana"/>
          <w:sz w:val="20"/>
          <w:szCs w:val="20"/>
        </w:rPr>
        <w:t xml:space="preserve"> risk </w:t>
      </w:r>
      <w:r w:rsidR="00CB1DA9" w:rsidRPr="00042F16">
        <w:rPr>
          <w:rFonts w:ascii="Verdana" w:hAnsi="Verdana"/>
          <w:sz w:val="20"/>
          <w:szCs w:val="20"/>
        </w:rPr>
        <w:t>is the risk that a depositary</w:t>
      </w:r>
      <w:r w:rsidRPr="00042F16">
        <w:rPr>
          <w:rFonts w:ascii="Verdana" w:hAnsi="Verdana"/>
          <w:sz w:val="20"/>
          <w:szCs w:val="20"/>
        </w:rPr>
        <w:t xml:space="preserve"> goes bankrupt which would result in losses of assets.</w:t>
      </w:r>
      <w:r w:rsidR="00FE2AFF" w:rsidRPr="00042F16">
        <w:rPr>
          <w:rFonts w:ascii="Verdana" w:hAnsi="Verdana"/>
          <w:sz w:val="20"/>
          <w:szCs w:val="20"/>
        </w:rPr>
        <w:t xml:space="preserve"> This risk does not have any regulatory capital requirement related. The economic capital requirement should be based on the estimation of the risk of default of the average deposit of the company. A reporting on the commitment per counterparty is </w:t>
      </w:r>
      <w:r w:rsidR="00D029DA" w:rsidRPr="00042F16">
        <w:rPr>
          <w:rFonts w:ascii="Verdana" w:hAnsi="Verdana"/>
          <w:sz w:val="20"/>
          <w:szCs w:val="20"/>
        </w:rPr>
        <w:t>produced</w:t>
      </w:r>
      <w:r w:rsidR="001E5B81" w:rsidRPr="00042F16">
        <w:rPr>
          <w:rFonts w:ascii="Verdana" w:hAnsi="Verdana"/>
          <w:sz w:val="20"/>
          <w:szCs w:val="20"/>
        </w:rPr>
        <w:t xml:space="preserve"> on a daily basis</w:t>
      </w:r>
      <w:r w:rsidR="00FE2AFF" w:rsidRPr="00042F16">
        <w:rPr>
          <w:rFonts w:ascii="Verdana" w:hAnsi="Verdana"/>
          <w:sz w:val="20"/>
          <w:szCs w:val="20"/>
        </w:rPr>
        <w:t xml:space="preserve">. The </w:t>
      </w:r>
      <w:r w:rsidR="00603DCC" w:rsidRPr="00042F16">
        <w:rPr>
          <w:rFonts w:ascii="Verdana" w:hAnsi="Verdana"/>
          <w:sz w:val="20"/>
          <w:szCs w:val="20"/>
        </w:rPr>
        <w:t>risk management department (once a year), the treasury committee (</w:t>
      </w:r>
      <w:r w:rsidR="00C966F4">
        <w:rPr>
          <w:rFonts w:ascii="Verdana" w:hAnsi="Verdana"/>
          <w:sz w:val="20"/>
          <w:szCs w:val="20"/>
        </w:rPr>
        <w:t>quarterly</w:t>
      </w:r>
      <w:r w:rsidR="00603DCC" w:rsidRPr="00042F16">
        <w:rPr>
          <w:rFonts w:ascii="Verdana" w:hAnsi="Verdana"/>
          <w:sz w:val="20"/>
          <w:szCs w:val="20"/>
        </w:rPr>
        <w:t xml:space="preserve"> basis) and the market desk (daily) are </w:t>
      </w:r>
      <w:r w:rsidR="00FE2AFF" w:rsidRPr="00042F16">
        <w:rPr>
          <w:rFonts w:ascii="Verdana" w:hAnsi="Verdana"/>
          <w:sz w:val="20"/>
          <w:szCs w:val="20"/>
        </w:rPr>
        <w:t xml:space="preserve">in charge of monitoring </w:t>
      </w:r>
      <w:r w:rsidR="00603DCC" w:rsidRPr="00042F16">
        <w:rPr>
          <w:rFonts w:ascii="Verdana" w:hAnsi="Verdana"/>
          <w:sz w:val="20"/>
          <w:szCs w:val="20"/>
        </w:rPr>
        <w:t>that risk.</w:t>
      </w:r>
      <w:r w:rsidR="00FE2AFF" w:rsidRPr="00042F16">
        <w:rPr>
          <w:rFonts w:ascii="Verdana" w:hAnsi="Verdana"/>
          <w:sz w:val="20"/>
          <w:szCs w:val="20"/>
        </w:rPr>
        <w:t xml:space="preserve"> </w:t>
      </w:r>
    </w:p>
    <w:p w14:paraId="6367EDB4" w14:textId="77777777" w:rsidR="0045405F" w:rsidRPr="00042F16" w:rsidRDefault="0045405F" w:rsidP="005B0625">
      <w:pPr>
        <w:spacing w:after="0" w:line="240" w:lineRule="auto"/>
        <w:rPr>
          <w:rFonts w:ascii="Verdana" w:hAnsi="Verdana"/>
          <w:sz w:val="20"/>
          <w:szCs w:val="20"/>
        </w:rPr>
      </w:pPr>
    </w:p>
    <w:p w14:paraId="766D728F" w14:textId="70BAA2C9" w:rsidR="002B49E2" w:rsidRPr="00042F16" w:rsidRDefault="00FE2AFF" w:rsidP="005B0625">
      <w:pPr>
        <w:spacing w:after="0" w:line="240" w:lineRule="auto"/>
        <w:rPr>
          <w:rFonts w:ascii="Verdana" w:hAnsi="Verdana"/>
          <w:sz w:val="20"/>
          <w:szCs w:val="20"/>
        </w:rPr>
      </w:pPr>
      <w:r w:rsidRPr="00042F16">
        <w:rPr>
          <w:rFonts w:ascii="Verdana" w:hAnsi="Verdana"/>
          <w:sz w:val="20"/>
          <w:szCs w:val="20"/>
        </w:rPr>
        <w:t xml:space="preserve">This risk is major for </w:t>
      </w:r>
      <w:r w:rsidR="00DF0FC6" w:rsidRPr="00042F16">
        <w:rPr>
          <w:rFonts w:ascii="Verdana" w:hAnsi="Verdana"/>
          <w:sz w:val="20"/>
          <w:szCs w:val="20"/>
        </w:rPr>
        <w:t>t</w:t>
      </w:r>
      <w:r w:rsidR="002F2ED1" w:rsidRPr="00042F16">
        <w:rPr>
          <w:rFonts w:ascii="Verdana" w:hAnsi="Verdana"/>
          <w:sz w:val="20"/>
          <w:szCs w:val="20"/>
        </w:rPr>
        <w:t>he Company</w:t>
      </w:r>
      <w:r w:rsidRPr="00042F16">
        <w:rPr>
          <w:rFonts w:ascii="Verdana" w:hAnsi="Verdana"/>
          <w:sz w:val="20"/>
          <w:szCs w:val="20"/>
        </w:rPr>
        <w:t xml:space="preserve"> and many controls</w:t>
      </w:r>
      <w:r w:rsidR="00D029DA" w:rsidRPr="00042F16">
        <w:rPr>
          <w:rFonts w:ascii="Verdana" w:hAnsi="Verdana"/>
          <w:sz w:val="20"/>
          <w:szCs w:val="20"/>
        </w:rPr>
        <w:t xml:space="preserve"> and measures</w:t>
      </w:r>
      <w:r w:rsidRPr="00042F16">
        <w:rPr>
          <w:rFonts w:ascii="Verdana" w:hAnsi="Verdana"/>
          <w:sz w:val="20"/>
          <w:szCs w:val="20"/>
        </w:rPr>
        <w:t xml:space="preserve"> are i</w:t>
      </w:r>
      <w:r w:rsidR="002B49E2" w:rsidRPr="00042F16">
        <w:rPr>
          <w:rFonts w:ascii="Verdana" w:hAnsi="Verdana"/>
          <w:sz w:val="20"/>
          <w:szCs w:val="20"/>
        </w:rPr>
        <w:t>n place in order to mitigate it</w:t>
      </w:r>
      <w:r w:rsidR="001E5B81" w:rsidRPr="00042F16">
        <w:rPr>
          <w:rFonts w:ascii="Verdana" w:hAnsi="Verdana"/>
          <w:sz w:val="20"/>
          <w:szCs w:val="20"/>
        </w:rPr>
        <w:t>,</w:t>
      </w:r>
      <w:r w:rsidR="002B49E2" w:rsidRPr="00042F16">
        <w:rPr>
          <w:rFonts w:ascii="Verdana" w:hAnsi="Verdana"/>
          <w:sz w:val="20"/>
          <w:szCs w:val="20"/>
        </w:rPr>
        <w:t xml:space="preserve"> such as: </w:t>
      </w:r>
    </w:p>
    <w:p w14:paraId="28276902" w14:textId="71AA3896" w:rsidR="002B49E2" w:rsidRPr="00042F16" w:rsidRDefault="002B49E2" w:rsidP="005B0625">
      <w:pPr>
        <w:pStyle w:val="ListParagraph"/>
        <w:numPr>
          <w:ilvl w:val="0"/>
          <w:numId w:val="10"/>
        </w:numPr>
        <w:spacing w:after="0" w:line="240" w:lineRule="auto"/>
        <w:rPr>
          <w:rFonts w:ascii="Verdana" w:hAnsi="Verdana"/>
          <w:sz w:val="20"/>
          <w:szCs w:val="20"/>
        </w:rPr>
      </w:pPr>
      <w:r w:rsidRPr="00042F16">
        <w:rPr>
          <w:rFonts w:ascii="Verdana" w:hAnsi="Verdana"/>
          <w:sz w:val="20"/>
          <w:szCs w:val="20"/>
        </w:rPr>
        <w:t>Prudent policy when selecting counterparties</w:t>
      </w:r>
      <w:r w:rsidR="001E5B81" w:rsidRPr="00042F16">
        <w:rPr>
          <w:rFonts w:ascii="Verdana" w:hAnsi="Verdana"/>
          <w:sz w:val="20"/>
          <w:szCs w:val="20"/>
        </w:rPr>
        <w:t>;</w:t>
      </w:r>
    </w:p>
    <w:p w14:paraId="571C4650" w14:textId="13FF85D2" w:rsidR="002B49E2" w:rsidRPr="00042F16" w:rsidRDefault="002B49E2" w:rsidP="005B0625">
      <w:pPr>
        <w:pStyle w:val="ListParagraph"/>
        <w:numPr>
          <w:ilvl w:val="0"/>
          <w:numId w:val="10"/>
        </w:numPr>
        <w:spacing w:after="0" w:line="240" w:lineRule="auto"/>
        <w:rPr>
          <w:rFonts w:ascii="Verdana" w:hAnsi="Verdana"/>
          <w:sz w:val="20"/>
          <w:szCs w:val="20"/>
        </w:rPr>
      </w:pPr>
      <w:r w:rsidRPr="00042F16">
        <w:rPr>
          <w:rFonts w:ascii="Verdana" w:hAnsi="Verdana"/>
          <w:sz w:val="20"/>
          <w:szCs w:val="20"/>
        </w:rPr>
        <w:t>Yearly review of accepted counterparties</w:t>
      </w:r>
      <w:r w:rsidR="001E5B81" w:rsidRPr="00042F16">
        <w:rPr>
          <w:rFonts w:ascii="Verdana" w:hAnsi="Verdana"/>
          <w:sz w:val="20"/>
          <w:szCs w:val="20"/>
        </w:rPr>
        <w:t>;</w:t>
      </w:r>
    </w:p>
    <w:p w14:paraId="027E3C7E" w14:textId="5757C85A" w:rsidR="002B49E2" w:rsidRPr="00042F16" w:rsidRDefault="002B49E2" w:rsidP="005B0625">
      <w:pPr>
        <w:pStyle w:val="ListParagraph"/>
        <w:numPr>
          <w:ilvl w:val="0"/>
          <w:numId w:val="10"/>
        </w:numPr>
        <w:spacing w:after="0" w:line="240" w:lineRule="auto"/>
        <w:rPr>
          <w:rFonts w:ascii="Verdana" w:hAnsi="Verdana"/>
          <w:sz w:val="20"/>
          <w:szCs w:val="20"/>
        </w:rPr>
      </w:pPr>
      <w:r w:rsidRPr="00042F16">
        <w:rPr>
          <w:rFonts w:ascii="Verdana" w:hAnsi="Verdana"/>
          <w:sz w:val="20"/>
          <w:szCs w:val="20"/>
        </w:rPr>
        <w:t>On-going proactive assessment on counterparties by the Treasury committee</w:t>
      </w:r>
      <w:r w:rsidR="001E5B81" w:rsidRPr="00042F16">
        <w:rPr>
          <w:rFonts w:ascii="Verdana" w:hAnsi="Verdana"/>
          <w:sz w:val="20"/>
          <w:szCs w:val="20"/>
        </w:rPr>
        <w:t>;</w:t>
      </w:r>
    </w:p>
    <w:p w14:paraId="0331EC0A" w14:textId="3CDC4935" w:rsidR="002B49E2" w:rsidRPr="00042F16" w:rsidRDefault="002B49E2" w:rsidP="005B0625">
      <w:pPr>
        <w:pStyle w:val="ListParagraph"/>
        <w:numPr>
          <w:ilvl w:val="0"/>
          <w:numId w:val="10"/>
        </w:numPr>
        <w:spacing w:after="0" w:line="240" w:lineRule="auto"/>
        <w:rPr>
          <w:rFonts w:ascii="Verdana" w:hAnsi="Verdana"/>
          <w:sz w:val="20"/>
          <w:szCs w:val="20"/>
        </w:rPr>
      </w:pPr>
      <w:r w:rsidRPr="00042F16">
        <w:rPr>
          <w:rFonts w:ascii="Verdana" w:hAnsi="Verdana"/>
          <w:sz w:val="20"/>
          <w:szCs w:val="20"/>
        </w:rPr>
        <w:t>Active treasury monitoring policy in terms of cash allocation and re-allocation between depositaries with the supervision of the treasury committee</w:t>
      </w:r>
      <w:r w:rsidR="001E5B81" w:rsidRPr="00042F16">
        <w:rPr>
          <w:rFonts w:ascii="Verdana" w:hAnsi="Verdana"/>
          <w:sz w:val="20"/>
          <w:szCs w:val="20"/>
        </w:rPr>
        <w:t>;</w:t>
      </w:r>
    </w:p>
    <w:p w14:paraId="074ABD12" w14:textId="5FCF6C4D" w:rsidR="002B49E2" w:rsidRPr="00042F16" w:rsidRDefault="002B49E2" w:rsidP="005B0625">
      <w:pPr>
        <w:pStyle w:val="ListParagraph"/>
        <w:numPr>
          <w:ilvl w:val="0"/>
          <w:numId w:val="10"/>
        </w:numPr>
        <w:spacing w:after="0" w:line="240" w:lineRule="auto"/>
        <w:rPr>
          <w:rFonts w:ascii="Verdana" w:hAnsi="Verdana"/>
          <w:sz w:val="20"/>
          <w:szCs w:val="20"/>
        </w:rPr>
      </w:pPr>
      <w:r w:rsidRPr="00042F16">
        <w:rPr>
          <w:rFonts w:ascii="Verdana" w:hAnsi="Verdana"/>
          <w:sz w:val="20"/>
          <w:szCs w:val="20"/>
        </w:rPr>
        <w:t>Authorized brokers list in force</w:t>
      </w:r>
      <w:r w:rsidR="001E5B81" w:rsidRPr="00042F16">
        <w:rPr>
          <w:rFonts w:ascii="Verdana" w:hAnsi="Verdana"/>
          <w:sz w:val="20"/>
          <w:szCs w:val="20"/>
        </w:rPr>
        <w:t>;</w:t>
      </w:r>
    </w:p>
    <w:p w14:paraId="5708F343" w14:textId="7AF5C222" w:rsidR="00FE2AFF" w:rsidRPr="00042F16" w:rsidRDefault="002B49E2" w:rsidP="005B0625">
      <w:pPr>
        <w:pStyle w:val="ListParagraph"/>
        <w:numPr>
          <w:ilvl w:val="0"/>
          <w:numId w:val="10"/>
        </w:numPr>
        <w:spacing w:after="0" w:line="240" w:lineRule="auto"/>
        <w:rPr>
          <w:rFonts w:ascii="Verdana" w:hAnsi="Verdana"/>
          <w:sz w:val="20"/>
          <w:szCs w:val="20"/>
        </w:rPr>
      </w:pPr>
      <w:r w:rsidRPr="00042F16">
        <w:rPr>
          <w:rFonts w:ascii="Verdana" w:hAnsi="Verdana"/>
          <w:sz w:val="20"/>
          <w:szCs w:val="20"/>
        </w:rPr>
        <w:t>Lending securities fully collateralised, etc.</w:t>
      </w:r>
    </w:p>
    <w:p w14:paraId="66DEE73F" w14:textId="77777777" w:rsidR="005B0625" w:rsidRDefault="005B0625" w:rsidP="005B0625">
      <w:pPr>
        <w:spacing w:after="0" w:line="240" w:lineRule="auto"/>
        <w:rPr>
          <w:rFonts w:ascii="Verdana" w:hAnsi="Verdana"/>
          <w:sz w:val="20"/>
          <w:szCs w:val="20"/>
        </w:rPr>
      </w:pPr>
    </w:p>
    <w:p w14:paraId="44E20803" w14:textId="2A49CA74" w:rsidR="002B49E2" w:rsidRPr="00042F16" w:rsidRDefault="002B49E2" w:rsidP="005B0625">
      <w:pPr>
        <w:spacing w:after="0" w:line="240" w:lineRule="auto"/>
        <w:rPr>
          <w:rFonts w:ascii="Verdana" w:hAnsi="Verdana"/>
          <w:sz w:val="20"/>
          <w:szCs w:val="20"/>
        </w:rPr>
      </w:pPr>
      <w:r w:rsidRPr="00042F16">
        <w:rPr>
          <w:rFonts w:ascii="Verdana" w:hAnsi="Verdana"/>
          <w:sz w:val="20"/>
          <w:szCs w:val="20"/>
        </w:rPr>
        <w:t xml:space="preserve">As the monitoring is very active and based on the principle of risk repartition and diversification, </w:t>
      </w:r>
      <w:r w:rsidR="002F2ED1" w:rsidRPr="00042F16">
        <w:rPr>
          <w:rFonts w:ascii="Verdana" w:hAnsi="Verdana"/>
          <w:sz w:val="20"/>
          <w:szCs w:val="20"/>
        </w:rPr>
        <w:t>The Company</w:t>
      </w:r>
      <w:r w:rsidR="00603DCC" w:rsidRPr="00042F16">
        <w:rPr>
          <w:rFonts w:ascii="Verdana" w:hAnsi="Verdana"/>
          <w:sz w:val="20"/>
          <w:szCs w:val="20"/>
        </w:rPr>
        <w:t xml:space="preserve"> has</w:t>
      </w:r>
      <w:r w:rsidRPr="00042F16">
        <w:rPr>
          <w:rFonts w:ascii="Verdana" w:hAnsi="Verdana"/>
          <w:sz w:val="20"/>
          <w:szCs w:val="20"/>
        </w:rPr>
        <w:t xml:space="preserve"> never faced default counterparts and depositaries in the past.</w:t>
      </w:r>
    </w:p>
    <w:p w14:paraId="121F0DFE" w14:textId="09DD48A7" w:rsidR="00B532CF" w:rsidRDefault="002F2ED1" w:rsidP="005B0625">
      <w:pPr>
        <w:spacing w:after="0" w:line="240" w:lineRule="auto"/>
        <w:rPr>
          <w:rFonts w:ascii="Verdana" w:hAnsi="Verdana"/>
          <w:sz w:val="20"/>
          <w:szCs w:val="20"/>
        </w:rPr>
      </w:pPr>
      <w:r w:rsidRPr="00042F16">
        <w:rPr>
          <w:rFonts w:ascii="Verdana" w:hAnsi="Verdana"/>
          <w:sz w:val="20"/>
          <w:szCs w:val="20"/>
        </w:rPr>
        <w:t>The Company</w:t>
      </w:r>
      <w:r w:rsidR="001E5B81" w:rsidRPr="00042F16">
        <w:rPr>
          <w:rFonts w:ascii="Verdana" w:hAnsi="Verdana"/>
          <w:sz w:val="20"/>
          <w:szCs w:val="20"/>
        </w:rPr>
        <w:t>’s</w:t>
      </w:r>
      <w:r w:rsidR="002B49E2" w:rsidRPr="00042F16">
        <w:rPr>
          <w:rFonts w:ascii="Verdana" w:hAnsi="Verdana"/>
          <w:sz w:val="20"/>
          <w:szCs w:val="20"/>
        </w:rPr>
        <w:t xml:space="preserve"> internal maximum cash limit is </w:t>
      </w:r>
      <w:r w:rsidR="00C72F32" w:rsidRPr="00042F16">
        <w:rPr>
          <w:rFonts w:ascii="Verdana" w:hAnsi="Verdana"/>
          <w:sz w:val="20"/>
          <w:szCs w:val="20"/>
        </w:rPr>
        <w:t xml:space="preserve">EUR </w:t>
      </w:r>
      <w:r w:rsidR="002B49E2" w:rsidRPr="00042F16">
        <w:rPr>
          <w:rFonts w:ascii="Verdana" w:hAnsi="Verdana"/>
          <w:sz w:val="20"/>
          <w:szCs w:val="20"/>
        </w:rPr>
        <w:t>10,00</w:t>
      </w:r>
      <w:r w:rsidR="00F32FB5" w:rsidRPr="00042F16">
        <w:rPr>
          <w:rFonts w:ascii="Verdana" w:hAnsi="Verdana"/>
          <w:sz w:val="20"/>
          <w:szCs w:val="20"/>
        </w:rPr>
        <w:t>0,000</w:t>
      </w:r>
      <w:r w:rsidR="00390B3E" w:rsidRPr="00042F16">
        <w:rPr>
          <w:rStyle w:val="FootnoteReference"/>
          <w:rFonts w:ascii="Verdana" w:hAnsi="Verdana"/>
          <w:sz w:val="20"/>
          <w:szCs w:val="20"/>
        </w:rPr>
        <w:footnoteReference w:id="2"/>
      </w:r>
      <w:r w:rsidR="00F32FB5" w:rsidRPr="00042F16">
        <w:rPr>
          <w:rFonts w:ascii="Verdana" w:hAnsi="Verdana"/>
          <w:sz w:val="20"/>
          <w:szCs w:val="20"/>
        </w:rPr>
        <w:t xml:space="preserve"> for BIL, ING and KBC.</w:t>
      </w:r>
    </w:p>
    <w:p w14:paraId="7412DE82" w14:textId="77777777" w:rsidR="00AB708E" w:rsidRPr="0065464B" w:rsidRDefault="00AB708E" w:rsidP="00AB708E">
      <w:pPr>
        <w:rPr>
          <w:rFonts w:ascii="Verdana" w:hAnsi="Verdana"/>
          <w:sz w:val="20"/>
          <w:szCs w:val="20"/>
        </w:rPr>
      </w:pPr>
      <w:r w:rsidRPr="0065464B">
        <w:rPr>
          <w:rFonts w:ascii="Verdana" w:hAnsi="Verdana"/>
          <w:sz w:val="20"/>
          <w:szCs w:val="20"/>
        </w:rPr>
        <w:t>The Company decided to attribute a risk of 10% and to allocate a maximum capital requirement of 1 million EUR.</w:t>
      </w:r>
    </w:p>
    <w:p w14:paraId="65C44EFD" w14:textId="4F7CE4D1" w:rsidR="00B532CF" w:rsidRPr="005B0625" w:rsidRDefault="0043526C" w:rsidP="005B0625">
      <w:pPr>
        <w:pStyle w:val="Heading2"/>
        <w:spacing w:before="0" w:line="240" w:lineRule="auto"/>
        <w:ind w:left="567" w:hanging="567"/>
        <w:rPr>
          <w:rFonts w:ascii="Verdana" w:hAnsi="Verdana"/>
          <w:b/>
          <w:color w:val="6CACE4"/>
          <w:sz w:val="22"/>
          <w:szCs w:val="22"/>
        </w:rPr>
      </w:pPr>
      <w:bookmarkStart w:id="68" w:name="_Toc22716599"/>
      <w:r w:rsidRPr="005B0625">
        <w:rPr>
          <w:rFonts w:ascii="Verdana" w:hAnsi="Verdana"/>
          <w:b/>
          <w:color w:val="6CACE4"/>
          <w:sz w:val="22"/>
          <w:szCs w:val="22"/>
        </w:rPr>
        <w:t>Concentration</w:t>
      </w:r>
      <w:r w:rsidR="002B49E2" w:rsidRPr="005B0625">
        <w:rPr>
          <w:rFonts w:ascii="Verdana" w:hAnsi="Verdana"/>
          <w:b/>
          <w:color w:val="6CACE4"/>
          <w:sz w:val="22"/>
          <w:szCs w:val="22"/>
        </w:rPr>
        <w:t xml:space="preserve"> risk</w:t>
      </w:r>
      <w:bookmarkEnd w:id="68"/>
    </w:p>
    <w:p w14:paraId="3C87DF78" w14:textId="77777777" w:rsidR="005B0625" w:rsidRPr="005B0625" w:rsidRDefault="005B0625" w:rsidP="005B0625">
      <w:pPr>
        <w:spacing w:after="0" w:line="240" w:lineRule="auto"/>
      </w:pPr>
    </w:p>
    <w:p w14:paraId="4754CD04" w14:textId="408D4709" w:rsidR="0043526C" w:rsidRPr="00042F16" w:rsidRDefault="0043526C" w:rsidP="005B0625">
      <w:pPr>
        <w:spacing w:after="0" w:line="240" w:lineRule="auto"/>
        <w:rPr>
          <w:rFonts w:ascii="Verdana" w:hAnsi="Verdana"/>
          <w:sz w:val="20"/>
          <w:szCs w:val="20"/>
        </w:rPr>
      </w:pPr>
      <w:r w:rsidRPr="00042F16">
        <w:rPr>
          <w:rFonts w:ascii="Verdana" w:hAnsi="Verdana"/>
          <w:sz w:val="20"/>
          <w:szCs w:val="20"/>
        </w:rPr>
        <w:t xml:space="preserve">The CEBS defines concentration risk in its guideline (GL31) as exposures that may arise within or across different risk categories throughout an institution with the potential to produce </w:t>
      </w:r>
      <w:r w:rsidR="00D029DA" w:rsidRPr="00042F16">
        <w:rPr>
          <w:rFonts w:ascii="Verdana" w:hAnsi="Verdana"/>
          <w:sz w:val="20"/>
          <w:szCs w:val="20"/>
        </w:rPr>
        <w:t>losses</w:t>
      </w:r>
      <w:r w:rsidRPr="00042F16">
        <w:rPr>
          <w:rFonts w:ascii="Verdana" w:hAnsi="Verdana"/>
          <w:sz w:val="20"/>
          <w:szCs w:val="20"/>
        </w:rPr>
        <w:t xml:space="preserve"> large enough to threaten the institution’s health or ability to maintain its core operations; or as a result in a material change in an institution’s risk profile.</w:t>
      </w:r>
    </w:p>
    <w:p w14:paraId="1DFC0473" w14:textId="6BE3374F" w:rsidR="0043526C" w:rsidRPr="00042F16" w:rsidRDefault="0043526C" w:rsidP="005B0625">
      <w:pPr>
        <w:spacing w:after="0" w:line="240" w:lineRule="auto"/>
        <w:rPr>
          <w:rFonts w:ascii="Verdana" w:hAnsi="Verdana"/>
          <w:sz w:val="20"/>
          <w:szCs w:val="20"/>
        </w:rPr>
      </w:pPr>
      <w:r w:rsidRPr="00042F16">
        <w:rPr>
          <w:rFonts w:ascii="Verdana" w:hAnsi="Verdana"/>
          <w:sz w:val="20"/>
          <w:szCs w:val="20"/>
        </w:rPr>
        <w:t xml:space="preserve">In order to mitigate concentration risk, some </w:t>
      </w:r>
      <w:r w:rsidR="00D029DA" w:rsidRPr="00042F16">
        <w:rPr>
          <w:rFonts w:ascii="Verdana" w:hAnsi="Verdana"/>
          <w:sz w:val="20"/>
          <w:szCs w:val="20"/>
        </w:rPr>
        <w:t>actions</w:t>
      </w:r>
      <w:r w:rsidRPr="00042F16">
        <w:rPr>
          <w:rFonts w:ascii="Verdana" w:hAnsi="Verdana"/>
          <w:sz w:val="20"/>
          <w:szCs w:val="20"/>
        </w:rPr>
        <w:t xml:space="preserve"> are effectuated at different levels of the Company:</w:t>
      </w:r>
    </w:p>
    <w:p w14:paraId="105A45D7" w14:textId="77777777" w:rsidR="005B0625" w:rsidRDefault="005B0625" w:rsidP="005B0625">
      <w:pPr>
        <w:spacing w:after="0" w:line="240" w:lineRule="auto"/>
        <w:rPr>
          <w:rFonts w:ascii="Verdana" w:hAnsi="Verdana"/>
          <w:sz w:val="20"/>
          <w:szCs w:val="20"/>
        </w:rPr>
      </w:pPr>
    </w:p>
    <w:p w14:paraId="4C109ED9" w14:textId="7DE861BF" w:rsidR="0043526C" w:rsidRPr="00042F16" w:rsidRDefault="0043526C" w:rsidP="005B0625">
      <w:pPr>
        <w:spacing w:after="0" w:line="240" w:lineRule="auto"/>
        <w:rPr>
          <w:rFonts w:ascii="Verdana" w:hAnsi="Verdana"/>
          <w:sz w:val="20"/>
          <w:szCs w:val="20"/>
        </w:rPr>
      </w:pPr>
      <w:r w:rsidRPr="00042F16">
        <w:rPr>
          <w:rFonts w:ascii="Verdana" w:hAnsi="Verdana"/>
          <w:sz w:val="20"/>
          <w:szCs w:val="20"/>
        </w:rPr>
        <w:t xml:space="preserve">At </w:t>
      </w:r>
      <w:r w:rsidR="00DF0FC6" w:rsidRPr="00042F16">
        <w:rPr>
          <w:rFonts w:ascii="Verdana" w:hAnsi="Verdana"/>
          <w:sz w:val="20"/>
          <w:szCs w:val="20"/>
        </w:rPr>
        <w:t>th</w:t>
      </w:r>
      <w:r w:rsidR="002F2ED1" w:rsidRPr="00042F16">
        <w:rPr>
          <w:rFonts w:ascii="Verdana" w:hAnsi="Verdana"/>
          <w:sz w:val="20"/>
          <w:szCs w:val="20"/>
        </w:rPr>
        <w:t>e Company</w:t>
      </w:r>
      <w:r w:rsidRPr="00042F16">
        <w:rPr>
          <w:rFonts w:ascii="Verdana" w:hAnsi="Verdana"/>
          <w:sz w:val="20"/>
          <w:szCs w:val="20"/>
        </w:rPr>
        <w:t xml:space="preserve"> Funds level:</w:t>
      </w:r>
    </w:p>
    <w:p w14:paraId="213FE245" w14:textId="7CDC6661" w:rsidR="0043526C" w:rsidRPr="00042F16" w:rsidRDefault="0043526C" w:rsidP="005B0625">
      <w:pPr>
        <w:pStyle w:val="ListParagraph"/>
        <w:numPr>
          <w:ilvl w:val="0"/>
          <w:numId w:val="11"/>
        </w:numPr>
        <w:spacing w:after="0" w:line="240" w:lineRule="auto"/>
        <w:rPr>
          <w:rFonts w:ascii="Verdana" w:hAnsi="Verdana"/>
          <w:sz w:val="20"/>
          <w:szCs w:val="20"/>
        </w:rPr>
      </w:pPr>
      <w:r w:rsidRPr="00042F16">
        <w:rPr>
          <w:rFonts w:ascii="Verdana" w:hAnsi="Verdana"/>
          <w:sz w:val="20"/>
          <w:szCs w:val="20"/>
        </w:rPr>
        <w:t xml:space="preserve">Implementation of internal investment guidelines limiting concentration of </w:t>
      </w:r>
      <w:proofErr w:type="spellStart"/>
      <w:r w:rsidRPr="00042F16">
        <w:rPr>
          <w:rFonts w:ascii="Verdana" w:hAnsi="Verdana"/>
          <w:sz w:val="20"/>
          <w:szCs w:val="20"/>
        </w:rPr>
        <w:t>funds</w:t>
      </w:r>
      <w:proofErr w:type="spellEnd"/>
      <w:r w:rsidRPr="00042F16">
        <w:rPr>
          <w:rFonts w:ascii="Verdana" w:hAnsi="Verdana"/>
          <w:sz w:val="20"/>
          <w:szCs w:val="20"/>
        </w:rPr>
        <w:t xml:space="preserve"> investments. </w:t>
      </w:r>
    </w:p>
    <w:p w14:paraId="2AD82B23" w14:textId="53DF1729" w:rsidR="0043526C" w:rsidRPr="00042F16" w:rsidRDefault="0043526C" w:rsidP="005B0625">
      <w:pPr>
        <w:pStyle w:val="ListParagraph"/>
        <w:numPr>
          <w:ilvl w:val="0"/>
          <w:numId w:val="11"/>
        </w:numPr>
        <w:spacing w:after="0" w:line="240" w:lineRule="auto"/>
        <w:rPr>
          <w:rFonts w:ascii="Verdana" w:hAnsi="Verdana"/>
          <w:sz w:val="20"/>
          <w:szCs w:val="20"/>
        </w:rPr>
      </w:pPr>
      <w:r w:rsidRPr="00042F16">
        <w:rPr>
          <w:rFonts w:ascii="Verdana" w:hAnsi="Verdana"/>
          <w:sz w:val="20"/>
          <w:szCs w:val="20"/>
        </w:rPr>
        <w:lastRenderedPageBreak/>
        <w:t xml:space="preserve">Implementation of regulatory investment restrictions limiting concentration of </w:t>
      </w:r>
      <w:proofErr w:type="spellStart"/>
      <w:r w:rsidRPr="00042F16">
        <w:rPr>
          <w:rFonts w:ascii="Verdana" w:hAnsi="Verdana"/>
          <w:sz w:val="20"/>
          <w:szCs w:val="20"/>
        </w:rPr>
        <w:t>funds</w:t>
      </w:r>
      <w:proofErr w:type="spellEnd"/>
      <w:r w:rsidRPr="00042F16">
        <w:rPr>
          <w:rFonts w:ascii="Verdana" w:hAnsi="Verdana"/>
          <w:sz w:val="20"/>
          <w:szCs w:val="20"/>
        </w:rPr>
        <w:t xml:space="preserve"> investments. </w:t>
      </w:r>
    </w:p>
    <w:p w14:paraId="41FBAECA" w14:textId="27353CE8" w:rsidR="0043526C" w:rsidRPr="00042F16" w:rsidRDefault="0043526C" w:rsidP="005B0625">
      <w:pPr>
        <w:pStyle w:val="ListParagraph"/>
        <w:numPr>
          <w:ilvl w:val="0"/>
          <w:numId w:val="11"/>
        </w:numPr>
        <w:spacing w:after="0" w:line="240" w:lineRule="auto"/>
        <w:rPr>
          <w:rFonts w:ascii="Verdana" w:hAnsi="Verdana"/>
          <w:sz w:val="20"/>
          <w:szCs w:val="20"/>
        </w:rPr>
      </w:pPr>
      <w:r w:rsidRPr="00042F16">
        <w:rPr>
          <w:rFonts w:ascii="Verdana" w:hAnsi="Verdana"/>
          <w:sz w:val="20"/>
          <w:szCs w:val="20"/>
        </w:rPr>
        <w:t xml:space="preserve">Automated ex-ante control of guidelines and restrictions on each new investment instruction. </w:t>
      </w:r>
    </w:p>
    <w:p w14:paraId="6F6D4363" w14:textId="79BEFB40" w:rsidR="0043526C" w:rsidRPr="00042F16" w:rsidRDefault="0043526C" w:rsidP="005B0625">
      <w:pPr>
        <w:pStyle w:val="ListParagraph"/>
        <w:numPr>
          <w:ilvl w:val="0"/>
          <w:numId w:val="11"/>
        </w:numPr>
        <w:spacing w:after="0" w:line="240" w:lineRule="auto"/>
        <w:rPr>
          <w:rFonts w:ascii="Verdana" w:hAnsi="Verdana"/>
          <w:sz w:val="20"/>
          <w:szCs w:val="20"/>
        </w:rPr>
      </w:pPr>
      <w:r w:rsidRPr="00042F16">
        <w:rPr>
          <w:rFonts w:ascii="Verdana" w:hAnsi="Verdana"/>
          <w:sz w:val="20"/>
          <w:szCs w:val="20"/>
        </w:rPr>
        <w:t xml:space="preserve">Daily ex-post control of funds compliance with guidelines and restrictions by RM department. </w:t>
      </w:r>
    </w:p>
    <w:p w14:paraId="0B762714" w14:textId="6A293275" w:rsidR="0043526C" w:rsidRPr="00042F16" w:rsidRDefault="0043526C" w:rsidP="005B0625">
      <w:pPr>
        <w:pStyle w:val="ListParagraph"/>
        <w:numPr>
          <w:ilvl w:val="0"/>
          <w:numId w:val="11"/>
        </w:numPr>
        <w:spacing w:after="0" w:line="240" w:lineRule="auto"/>
        <w:rPr>
          <w:rFonts w:ascii="Verdana" w:hAnsi="Verdana"/>
          <w:sz w:val="20"/>
          <w:szCs w:val="20"/>
        </w:rPr>
      </w:pPr>
      <w:r w:rsidRPr="00042F16">
        <w:rPr>
          <w:rFonts w:ascii="Verdana" w:hAnsi="Verdana"/>
          <w:sz w:val="20"/>
          <w:szCs w:val="20"/>
        </w:rPr>
        <w:t>Regular reporting from RM on issuer positions (individually and consolidated).</w:t>
      </w:r>
    </w:p>
    <w:p w14:paraId="4CA27B16" w14:textId="77777777" w:rsidR="005B0625" w:rsidRDefault="005B0625" w:rsidP="005B0625">
      <w:pPr>
        <w:spacing w:after="0" w:line="240" w:lineRule="auto"/>
        <w:rPr>
          <w:rFonts w:ascii="Verdana" w:hAnsi="Verdana"/>
          <w:sz w:val="20"/>
          <w:szCs w:val="20"/>
        </w:rPr>
      </w:pPr>
    </w:p>
    <w:p w14:paraId="0293A032" w14:textId="3E8109FE" w:rsidR="002B49E2" w:rsidRPr="00042F16" w:rsidRDefault="0043526C" w:rsidP="005B0625">
      <w:pPr>
        <w:spacing w:after="0" w:line="240" w:lineRule="auto"/>
        <w:rPr>
          <w:rFonts w:ascii="Verdana" w:hAnsi="Verdana"/>
          <w:sz w:val="20"/>
          <w:szCs w:val="20"/>
        </w:rPr>
      </w:pPr>
      <w:r w:rsidRPr="00042F16">
        <w:rPr>
          <w:rFonts w:ascii="Verdana" w:hAnsi="Verdana"/>
          <w:sz w:val="20"/>
          <w:szCs w:val="20"/>
        </w:rPr>
        <w:t>At Clients level:</w:t>
      </w:r>
    </w:p>
    <w:p w14:paraId="78D91B79" w14:textId="77777777" w:rsidR="0043526C" w:rsidRPr="00042F16" w:rsidRDefault="0043526C" w:rsidP="005B0625">
      <w:pPr>
        <w:pStyle w:val="ListParagraph"/>
        <w:numPr>
          <w:ilvl w:val="0"/>
          <w:numId w:val="12"/>
        </w:numPr>
        <w:spacing w:after="0" w:line="240" w:lineRule="auto"/>
        <w:rPr>
          <w:rFonts w:ascii="Verdana" w:hAnsi="Verdana"/>
          <w:sz w:val="20"/>
          <w:szCs w:val="20"/>
        </w:rPr>
      </w:pPr>
      <w:r w:rsidRPr="00042F16">
        <w:rPr>
          <w:rFonts w:ascii="Verdana" w:hAnsi="Verdana"/>
          <w:sz w:val="20"/>
          <w:szCs w:val="20"/>
        </w:rPr>
        <w:t xml:space="preserve">Periodic review of counterparts and depositaries. </w:t>
      </w:r>
    </w:p>
    <w:p w14:paraId="7F750880" w14:textId="4A3EC0DA" w:rsidR="0043526C" w:rsidRPr="00042F16" w:rsidRDefault="00F360CB" w:rsidP="005B0625">
      <w:pPr>
        <w:pStyle w:val="ListParagraph"/>
        <w:numPr>
          <w:ilvl w:val="0"/>
          <w:numId w:val="12"/>
        </w:numPr>
        <w:spacing w:after="0" w:line="240" w:lineRule="auto"/>
        <w:rPr>
          <w:rFonts w:ascii="Verdana" w:hAnsi="Verdana"/>
          <w:sz w:val="20"/>
          <w:szCs w:val="20"/>
        </w:rPr>
      </w:pPr>
      <w:r w:rsidRPr="00042F16">
        <w:rPr>
          <w:rFonts w:ascii="Verdana" w:hAnsi="Verdana"/>
          <w:sz w:val="20"/>
          <w:szCs w:val="20"/>
        </w:rPr>
        <w:t xml:space="preserve">Daily and weekly </w:t>
      </w:r>
      <w:r w:rsidR="00D029DA" w:rsidRPr="00042F16">
        <w:rPr>
          <w:rFonts w:ascii="Verdana" w:hAnsi="Verdana"/>
          <w:sz w:val="20"/>
          <w:szCs w:val="20"/>
        </w:rPr>
        <w:t>monitoring of client concentration and</w:t>
      </w:r>
      <w:r w:rsidRPr="00042F16">
        <w:rPr>
          <w:rFonts w:ascii="Verdana" w:hAnsi="Verdana"/>
          <w:sz w:val="20"/>
          <w:szCs w:val="20"/>
        </w:rPr>
        <w:t xml:space="preserve"> company cash</w:t>
      </w:r>
      <w:r w:rsidR="0043526C" w:rsidRPr="00042F16">
        <w:rPr>
          <w:rFonts w:ascii="Verdana" w:hAnsi="Verdana"/>
          <w:sz w:val="20"/>
          <w:szCs w:val="20"/>
        </w:rPr>
        <w:t xml:space="preserve"> by the Market Desk with </w:t>
      </w:r>
      <w:r w:rsidR="00752918" w:rsidRPr="00042F16">
        <w:rPr>
          <w:rFonts w:ascii="Verdana" w:hAnsi="Verdana"/>
          <w:sz w:val="20"/>
          <w:szCs w:val="20"/>
        </w:rPr>
        <w:t>s</w:t>
      </w:r>
      <w:r w:rsidR="0043526C" w:rsidRPr="00042F16">
        <w:rPr>
          <w:rFonts w:ascii="Verdana" w:hAnsi="Verdana"/>
          <w:sz w:val="20"/>
          <w:szCs w:val="20"/>
        </w:rPr>
        <w:t xml:space="preserve">upervision of the Management. </w:t>
      </w:r>
    </w:p>
    <w:p w14:paraId="77692A77" w14:textId="563554AC" w:rsidR="0043526C" w:rsidRPr="00042F16" w:rsidRDefault="0043526C" w:rsidP="005B0625">
      <w:pPr>
        <w:pStyle w:val="ListParagraph"/>
        <w:numPr>
          <w:ilvl w:val="0"/>
          <w:numId w:val="12"/>
        </w:numPr>
        <w:spacing w:after="0" w:line="240" w:lineRule="auto"/>
        <w:rPr>
          <w:rFonts w:ascii="Verdana" w:hAnsi="Verdana"/>
          <w:sz w:val="20"/>
          <w:szCs w:val="20"/>
        </w:rPr>
      </w:pPr>
      <w:r w:rsidRPr="00042F16">
        <w:rPr>
          <w:rFonts w:ascii="Verdana" w:hAnsi="Verdana"/>
          <w:sz w:val="20"/>
          <w:szCs w:val="20"/>
        </w:rPr>
        <w:t>Periodic review of clients</w:t>
      </w:r>
      <w:r w:rsidRPr="00042F16">
        <w:rPr>
          <w:rFonts w:ascii="Verdana" w:hAnsi="Verdana" w:cs="Arial"/>
          <w:sz w:val="20"/>
          <w:szCs w:val="20"/>
        </w:rPr>
        <w:t>’</w:t>
      </w:r>
      <w:r w:rsidRPr="00042F16">
        <w:rPr>
          <w:rFonts w:ascii="Verdana" w:hAnsi="Verdana"/>
          <w:sz w:val="20"/>
          <w:szCs w:val="20"/>
        </w:rPr>
        <w:t xml:space="preserve"> revenues by the Finance department.</w:t>
      </w:r>
    </w:p>
    <w:p w14:paraId="1058C89F" w14:textId="77777777" w:rsidR="005B0625" w:rsidRDefault="005B0625" w:rsidP="005B0625">
      <w:pPr>
        <w:spacing w:after="0" w:line="240" w:lineRule="auto"/>
        <w:rPr>
          <w:rFonts w:ascii="Verdana" w:hAnsi="Verdana"/>
          <w:sz w:val="20"/>
          <w:szCs w:val="20"/>
        </w:rPr>
      </w:pPr>
    </w:p>
    <w:p w14:paraId="56FE3448" w14:textId="351C210A" w:rsidR="0043526C" w:rsidRPr="00042F16" w:rsidRDefault="0043526C" w:rsidP="005B0625">
      <w:pPr>
        <w:spacing w:after="0" w:line="240" w:lineRule="auto"/>
        <w:rPr>
          <w:rFonts w:ascii="Verdana" w:hAnsi="Verdana"/>
          <w:sz w:val="20"/>
          <w:szCs w:val="20"/>
        </w:rPr>
      </w:pPr>
      <w:r w:rsidRPr="00042F16">
        <w:rPr>
          <w:rFonts w:ascii="Verdana" w:hAnsi="Verdana"/>
          <w:sz w:val="20"/>
          <w:szCs w:val="20"/>
        </w:rPr>
        <w:t>Despite the strong control environment, the residual risk is significant but the estimated frequency of occurrence is close to zero.</w:t>
      </w:r>
    </w:p>
    <w:p w14:paraId="39153622" w14:textId="77777777" w:rsidR="005B0625" w:rsidRDefault="005B0625" w:rsidP="005B0625">
      <w:pPr>
        <w:spacing w:after="0" w:line="240" w:lineRule="auto"/>
        <w:rPr>
          <w:rFonts w:ascii="Verdana" w:hAnsi="Verdana"/>
          <w:sz w:val="20"/>
          <w:szCs w:val="20"/>
        </w:rPr>
      </w:pPr>
    </w:p>
    <w:p w14:paraId="6F2063BB" w14:textId="65AF5FC8" w:rsidR="0043526C" w:rsidRPr="00042F16" w:rsidRDefault="0043526C" w:rsidP="005B0625">
      <w:pPr>
        <w:spacing w:after="0" w:line="240" w:lineRule="auto"/>
        <w:rPr>
          <w:rFonts w:ascii="Verdana" w:hAnsi="Verdana"/>
          <w:sz w:val="20"/>
          <w:szCs w:val="20"/>
        </w:rPr>
      </w:pPr>
      <w:r w:rsidRPr="00042F16">
        <w:rPr>
          <w:rFonts w:ascii="Verdana" w:hAnsi="Verdana"/>
          <w:sz w:val="20"/>
          <w:szCs w:val="20"/>
        </w:rPr>
        <w:t xml:space="preserve">The risk management department estimated the concentration risk through two </w:t>
      </w:r>
      <w:r w:rsidR="00056D98" w:rsidRPr="00042F16">
        <w:rPr>
          <w:rFonts w:ascii="Verdana" w:hAnsi="Verdana"/>
          <w:sz w:val="20"/>
          <w:szCs w:val="20"/>
        </w:rPr>
        <w:t>criteria’s</w:t>
      </w:r>
      <w:r w:rsidRPr="00042F16">
        <w:rPr>
          <w:rFonts w:ascii="Verdana" w:hAnsi="Verdana"/>
          <w:sz w:val="20"/>
          <w:szCs w:val="20"/>
        </w:rPr>
        <w:t>:</w:t>
      </w:r>
    </w:p>
    <w:p w14:paraId="57DFBD5D" w14:textId="45F05F50" w:rsidR="0043526C" w:rsidRPr="00042F16" w:rsidRDefault="0043526C" w:rsidP="005B0625">
      <w:pPr>
        <w:pStyle w:val="ListParagraph"/>
        <w:numPr>
          <w:ilvl w:val="0"/>
          <w:numId w:val="13"/>
        </w:numPr>
        <w:spacing w:after="0" w:line="240" w:lineRule="auto"/>
        <w:rPr>
          <w:rFonts w:ascii="Verdana" w:hAnsi="Verdana"/>
          <w:sz w:val="20"/>
          <w:szCs w:val="20"/>
        </w:rPr>
      </w:pPr>
      <w:r w:rsidRPr="00042F16">
        <w:rPr>
          <w:rFonts w:ascii="Verdana" w:hAnsi="Verdana"/>
          <w:sz w:val="20"/>
          <w:szCs w:val="20"/>
        </w:rPr>
        <w:t>The revenues of the 10 largest private clients</w:t>
      </w:r>
    </w:p>
    <w:p w14:paraId="31856D4F" w14:textId="6D306075" w:rsidR="0043526C" w:rsidRPr="00042F16" w:rsidRDefault="0043526C" w:rsidP="005B0625">
      <w:pPr>
        <w:pStyle w:val="ListParagraph"/>
        <w:numPr>
          <w:ilvl w:val="0"/>
          <w:numId w:val="13"/>
        </w:numPr>
        <w:spacing w:after="0" w:line="240" w:lineRule="auto"/>
        <w:rPr>
          <w:rFonts w:ascii="Verdana" w:hAnsi="Verdana"/>
          <w:sz w:val="20"/>
          <w:szCs w:val="20"/>
        </w:rPr>
      </w:pPr>
      <w:r w:rsidRPr="00042F16">
        <w:rPr>
          <w:rFonts w:ascii="Verdana" w:hAnsi="Verdana"/>
          <w:sz w:val="20"/>
          <w:szCs w:val="20"/>
        </w:rPr>
        <w:t>The potential loss in case of a CRM departure</w:t>
      </w:r>
    </w:p>
    <w:p w14:paraId="7DCA7CEE" w14:textId="77777777" w:rsidR="005B0625" w:rsidRDefault="005B0625" w:rsidP="005B0625">
      <w:pPr>
        <w:spacing w:after="0" w:line="240" w:lineRule="auto"/>
        <w:rPr>
          <w:rFonts w:ascii="Verdana" w:hAnsi="Verdana"/>
          <w:sz w:val="20"/>
          <w:szCs w:val="20"/>
        </w:rPr>
      </w:pPr>
    </w:p>
    <w:p w14:paraId="73F16867" w14:textId="715F028F" w:rsidR="00A73792" w:rsidRPr="00042F16" w:rsidRDefault="00A73792" w:rsidP="005B0625">
      <w:pPr>
        <w:spacing w:after="0" w:line="240" w:lineRule="auto"/>
        <w:rPr>
          <w:rFonts w:ascii="Verdana" w:hAnsi="Verdana"/>
          <w:sz w:val="20"/>
          <w:szCs w:val="20"/>
        </w:rPr>
      </w:pPr>
      <w:r w:rsidRPr="00042F16">
        <w:rPr>
          <w:rFonts w:ascii="Verdana" w:hAnsi="Verdana"/>
          <w:sz w:val="20"/>
          <w:szCs w:val="20"/>
        </w:rPr>
        <w:t>Internal capital requirement calculati</w:t>
      </w:r>
      <w:r w:rsidR="00F360CB" w:rsidRPr="00042F16">
        <w:rPr>
          <w:rFonts w:ascii="Verdana" w:hAnsi="Verdana"/>
          <w:sz w:val="20"/>
          <w:szCs w:val="20"/>
        </w:rPr>
        <w:t>on is based on those two</w:t>
      </w:r>
      <w:r w:rsidR="00603DCC" w:rsidRPr="00042F16">
        <w:rPr>
          <w:rFonts w:ascii="Verdana" w:hAnsi="Verdana"/>
          <w:sz w:val="20"/>
          <w:szCs w:val="20"/>
        </w:rPr>
        <w:t xml:space="preserve"> assumptions</w:t>
      </w:r>
      <w:r w:rsidRPr="00042F16">
        <w:rPr>
          <w:rFonts w:ascii="Verdana" w:hAnsi="Verdana"/>
          <w:sz w:val="20"/>
          <w:szCs w:val="20"/>
        </w:rPr>
        <w:t>:</w:t>
      </w:r>
    </w:p>
    <w:p w14:paraId="18E4CB6E" w14:textId="000A6EF0" w:rsidR="00A73792" w:rsidRPr="00042F16" w:rsidRDefault="00A73792" w:rsidP="005B0625">
      <w:pPr>
        <w:pStyle w:val="ListParagraph"/>
        <w:numPr>
          <w:ilvl w:val="0"/>
          <w:numId w:val="14"/>
        </w:numPr>
        <w:spacing w:after="0" w:line="240" w:lineRule="auto"/>
        <w:rPr>
          <w:rFonts w:ascii="Verdana" w:hAnsi="Verdana"/>
          <w:sz w:val="20"/>
          <w:szCs w:val="20"/>
        </w:rPr>
      </w:pPr>
      <w:r w:rsidRPr="00042F16">
        <w:rPr>
          <w:rFonts w:ascii="Verdana" w:hAnsi="Verdana"/>
          <w:sz w:val="20"/>
          <w:szCs w:val="20"/>
        </w:rPr>
        <w:t>The annual revenues of the 10 largest priva</w:t>
      </w:r>
      <w:r w:rsidR="00DE4353">
        <w:rPr>
          <w:rFonts w:ascii="Verdana" w:hAnsi="Verdana"/>
          <w:sz w:val="20"/>
          <w:szCs w:val="20"/>
        </w:rPr>
        <w:t>te clients are estimated at 8.02</w:t>
      </w:r>
      <w:r w:rsidRPr="00042F16">
        <w:rPr>
          <w:rFonts w:ascii="Verdana" w:hAnsi="Verdana"/>
          <w:sz w:val="20"/>
          <w:szCs w:val="20"/>
        </w:rPr>
        <w:t xml:space="preserve">% of the global revenues of </w:t>
      </w:r>
      <w:r w:rsidR="00DF0FC6" w:rsidRPr="00042F16">
        <w:rPr>
          <w:rFonts w:ascii="Verdana" w:hAnsi="Verdana"/>
          <w:sz w:val="20"/>
          <w:szCs w:val="20"/>
        </w:rPr>
        <w:t>t</w:t>
      </w:r>
      <w:r w:rsidR="00957371" w:rsidRPr="00042F16">
        <w:rPr>
          <w:rFonts w:ascii="Verdana" w:hAnsi="Verdana"/>
          <w:sz w:val="20"/>
          <w:szCs w:val="20"/>
        </w:rPr>
        <w:t>he Company</w:t>
      </w:r>
    </w:p>
    <w:p w14:paraId="5A22BA51" w14:textId="2E2F19C5" w:rsidR="00A73792" w:rsidRPr="00042F16" w:rsidRDefault="00A73792" w:rsidP="005B0625">
      <w:pPr>
        <w:pStyle w:val="ListParagraph"/>
        <w:numPr>
          <w:ilvl w:val="0"/>
          <w:numId w:val="14"/>
        </w:numPr>
        <w:spacing w:after="0" w:line="240" w:lineRule="auto"/>
        <w:rPr>
          <w:rFonts w:ascii="Verdana" w:hAnsi="Verdana"/>
          <w:sz w:val="20"/>
          <w:szCs w:val="20"/>
        </w:rPr>
      </w:pPr>
      <w:r w:rsidRPr="00042F16">
        <w:rPr>
          <w:rFonts w:ascii="Verdana" w:hAnsi="Verdana"/>
          <w:sz w:val="20"/>
          <w:szCs w:val="20"/>
        </w:rPr>
        <w:t>Based on the assets as per C</w:t>
      </w:r>
      <w:r w:rsidR="001E5B81" w:rsidRPr="00042F16">
        <w:rPr>
          <w:rFonts w:ascii="Verdana" w:hAnsi="Verdana"/>
          <w:sz w:val="20"/>
          <w:szCs w:val="20"/>
        </w:rPr>
        <w:t xml:space="preserve">lient </w:t>
      </w:r>
      <w:r w:rsidRPr="00042F16">
        <w:rPr>
          <w:rFonts w:ascii="Verdana" w:hAnsi="Verdana"/>
          <w:sz w:val="20"/>
          <w:szCs w:val="20"/>
        </w:rPr>
        <w:t>R</w:t>
      </w:r>
      <w:r w:rsidR="001E5B81" w:rsidRPr="00042F16">
        <w:rPr>
          <w:rFonts w:ascii="Verdana" w:hAnsi="Verdana"/>
          <w:sz w:val="20"/>
          <w:szCs w:val="20"/>
        </w:rPr>
        <w:t xml:space="preserve">elationship </w:t>
      </w:r>
      <w:r w:rsidRPr="00042F16">
        <w:rPr>
          <w:rFonts w:ascii="Verdana" w:hAnsi="Verdana"/>
          <w:sz w:val="20"/>
          <w:szCs w:val="20"/>
        </w:rPr>
        <w:t>M</w:t>
      </w:r>
      <w:r w:rsidR="001E5B81" w:rsidRPr="00042F16">
        <w:rPr>
          <w:rFonts w:ascii="Verdana" w:hAnsi="Verdana"/>
          <w:sz w:val="20"/>
          <w:szCs w:val="20"/>
        </w:rPr>
        <w:t>anager (CRM)</w:t>
      </w:r>
      <w:r w:rsidRPr="00042F16">
        <w:rPr>
          <w:rFonts w:ascii="Verdana" w:hAnsi="Verdana"/>
          <w:sz w:val="20"/>
          <w:szCs w:val="20"/>
        </w:rPr>
        <w:t>, we calculate the average loss of income in case of a loss of 40% of the clients of a CRM.</w:t>
      </w:r>
    </w:p>
    <w:p w14:paraId="5C27BAB5" w14:textId="77777777" w:rsidR="005B0625" w:rsidRDefault="005B0625" w:rsidP="005B0625">
      <w:pPr>
        <w:spacing w:after="0" w:line="240" w:lineRule="auto"/>
        <w:rPr>
          <w:rFonts w:ascii="Verdana" w:hAnsi="Verdana"/>
          <w:sz w:val="20"/>
          <w:szCs w:val="20"/>
        </w:rPr>
      </w:pPr>
    </w:p>
    <w:p w14:paraId="0E7A3907" w14:textId="1DA2541A" w:rsidR="00A73792" w:rsidRPr="00042F16" w:rsidRDefault="00603DCC" w:rsidP="005B0625">
      <w:pPr>
        <w:spacing w:after="0" w:line="240" w:lineRule="auto"/>
        <w:rPr>
          <w:rFonts w:ascii="Verdana" w:hAnsi="Verdana"/>
          <w:sz w:val="20"/>
          <w:szCs w:val="20"/>
        </w:rPr>
      </w:pPr>
      <w:r w:rsidRPr="00042F16">
        <w:rPr>
          <w:rFonts w:ascii="Verdana" w:hAnsi="Verdana"/>
          <w:sz w:val="20"/>
          <w:szCs w:val="20"/>
        </w:rPr>
        <w:t>According to those</w:t>
      </w:r>
      <w:r w:rsidR="00A73792" w:rsidRPr="00042F16">
        <w:rPr>
          <w:rFonts w:ascii="Verdana" w:hAnsi="Verdana"/>
          <w:sz w:val="20"/>
          <w:szCs w:val="20"/>
        </w:rPr>
        <w:t xml:space="preserve"> estimations, the maximum capital requirement allocated by </w:t>
      </w:r>
      <w:r w:rsidR="00DF0FC6" w:rsidRPr="00042F16">
        <w:rPr>
          <w:rFonts w:ascii="Verdana" w:hAnsi="Verdana"/>
          <w:sz w:val="20"/>
          <w:szCs w:val="20"/>
        </w:rPr>
        <w:t>t</w:t>
      </w:r>
      <w:r w:rsidR="00957371" w:rsidRPr="00042F16">
        <w:rPr>
          <w:rFonts w:ascii="Verdana" w:hAnsi="Verdana"/>
          <w:sz w:val="20"/>
          <w:szCs w:val="20"/>
        </w:rPr>
        <w:t>he Company</w:t>
      </w:r>
      <w:r w:rsidR="00A73792" w:rsidRPr="00042F16">
        <w:rPr>
          <w:rFonts w:ascii="Verdana" w:hAnsi="Verdana"/>
          <w:sz w:val="20"/>
          <w:szCs w:val="20"/>
        </w:rPr>
        <w:t xml:space="preserve"> is 1.7 million EUR. </w:t>
      </w:r>
    </w:p>
    <w:p w14:paraId="693FA71C" w14:textId="77777777" w:rsidR="0045405F" w:rsidRPr="00042F16" w:rsidRDefault="0045405F" w:rsidP="005B0625">
      <w:pPr>
        <w:spacing w:after="0" w:line="240" w:lineRule="auto"/>
        <w:rPr>
          <w:rFonts w:ascii="Verdana" w:hAnsi="Verdana"/>
          <w:sz w:val="20"/>
          <w:szCs w:val="20"/>
        </w:rPr>
      </w:pPr>
    </w:p>
    <w:p w14:paraId="0E9EAE6E" w14:textId="6BBF3143" w:rsidR="009214D3" w:rsidRPr="005B0625" w:rsidRDefault="009214D3" w:rsidP="005B0625">
      <w:pPr>
        <w:pStyle w:val="Heading2"/>
        <w:spacing w:before="0" w:line="240" w:lineRule="auto"/>
        <w:ind w:left="567" w:hanging="567"/>
        <w:rPr>
          <w:rFonts w:ascii="Verdana" w:hAnsi="Verdana"/>
          <w:b/>
          <w:color w:val="6CACE4"/>
          <w:sz w:val="22"/>
          <w:szCs w:val="22"/>
        </w:rPr>
      </w:pPr>
      <w:bookmarkStart w:id="69" w:name="_Toc22716600"/>
      <w:r w:rsidRPr="005B0625">
        <w:rPr>
          <w:rFonts w:ascii="Verdana" w:hAnsi="Verdana"/>
          <w:b/>
          <w:color w:val="6CACE4"/>
          <w:sz w:val="22"/>
          <w:szCs w:val="22"/>
        </w:rPr>
        <w:t>Market risk</w:t>
      </w:r>
      <w:r w:rsidR="001E5B81" w:rsidRPr="005B0625">
        <w:rPr>
          <w:rFonts w:ascii="Verdana" w:hAnsi="Verdana"/>
          <w:b/>
          <w:color w:val="6CACE4"/>
          <w:sz w:val="22"/>
          <w:szCs w:val="22"/>
        </w:rPr>
        <w:t xml:space="preserve"> (Article 445 CRR)</w:t>
      </w:r>
      <w:bookmarkEnd w:id="69"/>
    </w:p>
    <w:p w14:paraId="4394E446" w14:textId="77777777" w:rsidR="005B0625" w:rsidRPr="005B0625" w:rsidRDefault="005B0625" w:rsidP="005B0625">
      <w:pPr>
        <w:spacing w:after="0" w:line="240" w:lineRule="auto"/>
      </w:pPr>
    </w:p>
    <w:p w14:paraId="35CBFF2F" w14:textId="4D76E557" w:rsidR="009214D3" w:rsidRPr="00042F16" w:rsidRDefault="009214D3" w:rsidP="005B0625">
      <w:pPr>
        <w:spacing w:after="0" w:line="240" w:lineRule="auto"/>
        <w:rPr>
          <w:rFonts w:ascii="Verdana" w:hAnsi="Verdana"/>
          <w:sz w:val="20"/>
          <w:szCs w:val="20"/>
        </w:rPr>
      </w:pPr>
      <w:r w:rsidRPr="00042F16">
        <w:rPr>
          <w:rFonts w:ascii="Verdana" w:hAnsi="Verdana"/>
          <w:sz w:val="20"/>
          <w:szCs w:val="20"/>
        </w:rPr>
        <w:t>Market r</w:t>
      </w:r>
      <w:r w:rsidR="00752918" w:rsidRPr="00042F16">
        <w:rPr>
          <w:rFonts w:ascii="Verdana" w:hAnsi="Verdana"/>
          <w:sz w:val="20"/>
          <w:szCs w:val="20"/>
        </w:rPr>
        <w:t>isks are the risks that</w:t>
      </w:r>
      <w:r w:rsidRPr="00042F16">
        <w:rPr>
          <w:rFonts w:ascii="Verdana" w:hAnsi="Verdana"/>
          <w:sz w:val="20"/>
          <w:szCs w:val="20"/>
        </w:rPr>
        <w:t xml:space="preserve"> market prices</w:t>
      </w:r>
      <w:r w:rsidR="00752918" w:rsidRPr="00042F16">
        <w:rPr>
          <w:rFonts w:ascii="Verdana" w:hAnsi="Verdana"/>
          <w:sz w:val="20"/>
          <w:szCs w:val="20"/>
        </w:rPr>
        <w:t xml:space="preserve"> fluctuations</w:t>
      </w:r>
      <w:r w:rsidRPr="00042F16">
        <w:rPr>
          <w:rFonts w:ascii="Verdana" w:hAnsi="Verdana"/>
          <w:sz w:val="20"/>
          <w:szCs w:val="20"/>
        </w:rPr>
        <w:t xml:space="preserve">, such as interest rates, equity prices, foreign exchange rates and credit spreads will affect </w:t>
      </w:r>
      <w:r w:rsidR="00DF0FC6" w:rsidRPr="00042F16">
        <w:rPr>
          <w:rFonts w:ascii="Verdana" w:hAnsi="Verdana"/>
          <w:sz w:val="20"/>
          <w:szCs w:val="20"/>
        </w:rPr>
        <w:t>t</w:t>
      </w:r>
      <w:r w:rsidRPr="00042F16">
        <w:rPr>
          <w:rFonts w:ascii="Verdana" w:hAnsi="Verdana"/>
          <w:sz w:val="20"/>
          <w:szCs w:val="20"/>
        </w:rPr>
        <w:t xml:space="preserve">he </w:t>
      </w:r>
      <w:r w:rsidR="001E5B81" w:rsidRPr="00042F16">
        <w:rPr>
          <w:rFonts w:ascii="Verdana" w:hAnsi="Verdana"/>
          <w:sz w:val="20"/>
          <w:szCs w:val="20"/>
        </w:rPr>
        <w:t>Company</w:t>
      </w:r>
      <w:r w:rsidRPr="00042F16">
        <w:rPr>
          <w:rFonts w:ascii="Verdana" w:hAnsi="Verdana"/>
          <w:sz w:val="20"/>
          <w:szCs w:val="20"/>
        </w:rPr>
        <w:t>’s income or the value of its holdings of financial instruments. The objective of market risk management is to manage and control market risk exposures within acceptable parameters, while optimising the return on risk.</w:t>
      </w:r>
    </w:p>
    <w:p w14:paraId="7B32A285" w14:textId="77777777" w:rsidR="005B0625" w:rsidRDefault="005B0625" w:rsidP="005B0625">
      <w:pPr>
        <w:spacing w:after="0" w:line="240" w:lineRule="auto"/>
        <w:rPr>
          <w:rFonts w:ascii="Verdana" w:hAnsi="Verdana"/>
          <w:sz w:val="20"/>
          <w:szCs w:val="20"/>
        </w:rPr>
      </w:pPr>
    </w:p>
    <w:p w14:paraId="61CA5BDF" w14:textId="59ABA3AF" w:rsidR="009214D3" w:rsidRPr="00042F16" w:rsidRDefault="009214D3" w:rsidP="005B0625">
      <w:pPr>
        <w:spacing w:after="0" w:line="240" w:lineRule="auto"/>
        <w:rPr>
          <w:rFonts w:ascii="Verdana" w:hAnsi="Verdana"/>
          <w:sz w:val="20"/>
          <w:szCs w:val="20"/>
        </w:rPr>
      </w:pPr>
      <w:r w:rsidRPr="00042F16">
        <w:rPr>
          <w:rFonts w:ascii="Verdana" w:hAnsi="Verdana"/>
          <w:sz w:val="20"/>
          <w:szCs w:val="20"/>
        </w:rPr>
        <w:t xml:space="preserve">Overall authority for market risks is vested in the Risk Department, which is responsible for the development of market risk management policies (subject to review and approval by 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and for the day-to-day review of their implementation. </w:t>
      </w:r>
    </w:p>
    <w:p w14:paraId="6091B051" w14:textId="77777777" w:rsidR="005B0625" w:rsidRDefault="005B0625" w:rsidP="005B0625">
      <w:pPr>
        <w:spacing w:after="0" w:line="240" w:lineRule="auto"/>
        <w:rPr>
          <w:rFonts w:ascii="Verdana" w:hAnsi="Verdana"/>
          <w:sz w:val="20"/>
          <w:szCs w:val="20"/>
        </w:rPr>
      </w:pPr>
    </w:p>
    <w:p w14:paraId="1C9D3305" w14:textId="2879FB70" w:rsidR="00EE6876" w:rsidRPr="00042F16" w:rsidRDefault="00EE6876" w:rsidP="005B0625">
      <w:pPr>
        <w:spacing w:after="0" w:line="240" w:lineRule="auto"/>
        <w:rPr>
          <w:rFonts w:ascii="Verdana" w:hAnsi="Verdana"/>
          <w:sz w:val="20"/>
          <w:szCs w:val="20"/>
        </w:rPr>
      </w:pPr>
      <w:r w:rsidRPr="00042F16">
        <w:rPr>
          <w:rFonts w:ascii="Verdana" w:hAnsi="Verdana"/>
          <w:sz w:val="20"/>
          <w:szCs w:val="20"/>
        </w:rPr>
        <w:t xml:space="preserve">In 2015,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decided to apply a new methodology to assess</w:t>
      </w:r>
      <w:r w:rsidR="00603DCC" w:rsidRPr="00042F16">
        <w:rPr>
          <w:rFonts w:ascii="Verdana" w:hAnsi="Verdana"/>
          <w:sz w:val="20"/>
          <w:szCs w:val="20"/>
        </w:rPr>
        <w:t xml:space="preserve"> the</w:t>
      </w:r>
      <w:r w:rsidRPr="00042F16">
        <w:rPr>
          <w:rFonts w:ascii="Verdana" w:hAnsi="Verdana"/>
          <w:sz w:val="20"/>
          <w:szCs w:val="20"/>
        </w:rPr>
        <w:t xml:space="preserve"> market risk of </w:t>
      </w:r>
      <w:r w:rsidR="00DF0FC6" w:rsidRPr="00042F16">
        <w:rPr>
          <w:rFonts w:ascii="Verdana" w:hAnsi="Verdana"/>
          <w:sz w:val="20"/>
          <w:szCs w:val="20"/>
        </w:rPr>
        <w:t>t</w:t>
      </w:r>
      <w:r w:rsidRPr="00042F16">
        <w:rPr>
          <w:rFonts w:ascii="Verdana" w:hAnsi="Verdana"/>
          <w:sz w:val="20"/>
          <w:szCs w:val="20"/>
        </w:rPr>
        <w:t xml:space="preserve">he </w:t>
      </w:r>
      <w:r w:rsidR="00A46422" w:rsidRPr="00042F16">
        <w:rPr>
          <w:rFonts w:ascii="Verdana" w:hAnsi="Verdana"/>
          <w:sz w:val="20"/>
          <w:szCs w:val="20"/>
        </w:rPr>
        <w:t>C</w:t>
      </w:r>
      <w:r w:rsidRPr="00042F16">
        <w:rPr>
          <w:rFonts w:ascii="Verdana" w:hAnsi="Verdana"/>
          <w:sz w:val="20"/>
          <w:szCs w:val="20"/>
        </w:rPr>
        <w:t xml:space="preserve">ompany. The estimations are based on reports from </w:t>
      </w:r>
      <w:proofErr w:type="spellStart"/>
      <w:r w:rsidRPr="00042F16">
        <w:rPr>
          <w:rFonts w:ascii="Verdana" w:hAnsi="Verdana"/>
          <w:sz w:val="20"/>
          <w:szCs w:val="20"/>
        </w:rPr>
        <w:t>Price</w:t>
      </w:r>
      <w:r w:rsidR="00603DCC" w:rsidRPr="00042F16">
        <w:rPr>
          <w:rFonts w:ascii="Verdana" w:hAnsi="Verdana"/>
          <w:sz w:val="20"/>
          <w:szCs w:val="20"/>
        </w:rPr>
        <w:t>WaterhouseCoopers</w:t>
      </w:r>
      <w:proofErr w:type="spellEnd"/>
      <w:r w:rsidR="00603DCC" w:rsidRPr="00042F16">
        <w:rPr>
          <w:rFonts w:ascii="Verdana" w:hAnsi="Verdana"/>
          <w:sz w:val="20"/>
          <w:szCs w:val="20"/>
        </w:rPr>
        <w:t xml:space="preserve"> that simulate</w:t>
      </w:r>
      <w:r w:rsidRPr="00042F16">
        <w:rPr>
          <w:rFonts w:ascii="Verdana" w:hAnsi="Verdana"/>
          <w:sz w:val="20"/>
          <w:szCs w:val="20"/>
        </w:rPr>
        <w:t xml:space="preserve"> the impacts of scenarios on </w:t>
      </w:r>
      <w:r w:rsidR="00DF0FC6" w:rsidRPr="00042F16">
        <w:rPr>
          <w:rFonts w:ascii="Verdana" w:hAnsi="Verdana"/>
          <w:sz w:val="20"/>
          <w:szCs w:val="20"/>
        </w:rPr>
        <w:t>th</w:t>
      </w:r>
      <w:r w:rsidR="00957371" w:rsidRPr="00042F16">
        <w:rPr>
          <w:rFonts w:ascii="Verdana" w:hAnsi="Verdana"/>
          <w:sz w:val="20"/>
          <w:szCs w:val="20"/>
        </w:rPr>
        <w:t>e Company</w:t>
      </w:r>
      <w:r w:rsidRPr="00042F16">
        <w:rPr>
          <w:rFonts w:ascii="Verdana" w:hAnsi="Verdana"/>
          <w:sz w:val="20"/>
          <w:szCs w:val="20"/>
        </w:rPr>
        <w:t xml:space="preserve"> funds (majo</w:t>
      </w:r>
      <w:r w:rsidR="002241F8" w:rsidRPr="00042F16">
        <w:rPr>
          <w:rFonts w:ascii="Verdana" w:hAnsi="Verdana"/>
          <w:sz w:val="20"/>
          <w:szCs w:val="20"/>
        </w:rPr>
        <w:t>r investment of the</w:t>
      </w:r>
      <w:r w:rsidRPr="00042F16">
        <w:rPr>
          <w:rFonts w:ascii="Verdana" w:hAnsi="Verdana"/>
          <w:sz w:val="20"/>
          <w:szCs w:val="20"/>
        </w:rPr>
        <w:t xml:space="preserve"> assets under management) and on their TAA (Tactical Asset Al</w:t>
      </w:r>
      <w:r w:rsidR="00F360CB" w:rsidRPr="00042F16">
        <w:rPr>
          <w:rFonts w:ascii="Verdana" w:hAnsi="Verdana"/>
          <w:sz w:val="20"/>
          <w:szCs w:val="20"/>
        </w:rPr>
        <w:t>location). These</w:t>
      </w:r>
      <w:r w:rsidRPr="00042F16">
        <w:rPr>
          <w:rFonts w:ascii="Verdana" w:hAnsi="Verdana"/>
          <w:sz w:val="20"/>
          <w:szCs w:val="20"/>
        </w:rPr>
        <w:t xml:space="preserve"> stressed situations provid</w:t>
      </w:r>
      <w:r w:rsidR="00F360CB" w:rsidRPr="00042F16">
        <w:rPr>
          <w:rFonts w:ascii="Verdana" w:hAnsi="Verdana"/>
          <w:sz w:val="20"/>
          <w:szCs w:val="20"/>
        </w:rPr>
        <w:t>e</w:t>
      </w:r>
      <w:r w:rsidRPr="00042F16">
        <w:rPr>
          <w:rFonts w:ascii="Verdana" w:hAnsi="Verdana"/>
          <w:sz w:val="20"/>
          <w:szCs w:val="20"/>
        </w:rPr>
        <w:t xml:space="preserve"> a dynamic view that is not considered</w:t>
      </w:r>
      <w:r w:rsidR="00F360CB" w:rsidRPr="00042F16">
        <w:rPr>
          <w:rFonts w:ascii="Verdana" w:hAnsi="Verdana"/>
          <w:sz w:val="20"/>
          <w:szCs w:val="20"/>
        </w:rPr>
        <w:t xml:space="preserve"> in the risk assessment in Pillar I or II. Therefore, </w:t>
      </w:r>
      <w:r w:rsidRPr="00042F16">
        <w:rPr>
          <w:rFonts w:ascii="Verdana" w:hAnsi="Verdana"/>
          <w:sz w:val="20"/>
          <w:szCs w:val="20"/>
        </w:rPr>
        <w:t>the Risk Management provides the Management with an enlarged information to decide the adequate capital allocation.</w:t>
      </w:r>
    </w:p>
    <w:p w14:paraId="5025F1C3" w14:textId="77777777" w:rsidR="005B0625" w:rsidRDefault="005B0625" w:rsidP="005B0625">
      <w:pPr>
        <w:spacing w:after="0" w:line="240" w:lineRule="auto"/>
        <w:rPr>
          <w:rFonts w:ascii="Verdana" w:hAnsi="Verdana"/>
          <w:sz w:val="20"/>
          <w:szCs w:val="20"/>
        </w:rPr>
      </w:pPr>
    </w:p>
    <w:p w14:paraId="718B6D30" w14:textId="58F56277" w:rsidR="009214D3" w:rsidRPr="00042F16" w:rsidRDefault="00957371" w:rsidP="005B0625">
      <w:pPr>
        <w:spacing w:after="0" w:line="240" w:lineRule="auto"/>
        <w:rPr>
          <w:rFonts w:ascii="Verdana" w:hAnsi="Verdana"/>
          <w:sz w:val="20"/>
          <w:szCs w:val="20"/>
        </w:rPr>
      </w:pPr>
      <w:r w:rsidRPr="00042F16">
        <w:rPr>
          <w:rFonts w:ascii="Verdana" w:hAnsi="Verdana"/>
          <w:sz w:val="20"/>
          <w:szCs w:val="20"/>
        </w:rPr>
        <w:t>The Company</w:t>
      </w:r>
      <w:r w:rsidR="00EE6876" w:rsidRPr="00042F16">
        <w:rPr>
          <w:rFonts w:ascii="Verdana" w:hAnsi="Verdana"/>
          <w:sz w:val="20"/>
          <w:szCs w:val="20"/>
        </w:rPr>
        <w:t xml:space="preserve"> considers market risk a</w:t>
      </w:r>
      <w:r w:rsidR="00565B74" w:rsidRPr="00042F16">
        <w:rPr>
          <w:rFonts w:ascii="Verdana" w:hAnsi="Verdana"/>
          <w:sz w:val="20"/>
          <w:szCs w:val="20"/>
        </w:rPr>
        <w:t>s a major risk and applies</w:t>
      </w:r>
      <w:r w:rsidR="00EE6876" w:rsidRPr="00042F16">
        <w:rPr>
          <w:rFonts w:ascii="Verdana" w:hAnsi="Verdana"/>
          <w:sz w:val="20"/>
          <w:szCs w:val="20"/>
        </w:rPr>
        <w:t xml:space="preserve"> the following mitigating controls:</w:t>
      </w:r>
    </w:p>
    <w:p w14:paraId="5AB8939D" w14:textId="77777777" w:rsidR="005B0625" w:rsidRDefault="005B0625" w:rsidP="005B0625">
      <w:pPr>
        <w:spacing w:after="0" w:line="240" w:lineRule="auto"/>
        <w:rPr>
          <w:rFonts w:ascii="Verdana" w:hAnsi="Verdana"/>
          <w:sz w:val="20"/>
          <w:szCs w:val="20"/>
        </w:rPr>
      </w:pPr>
    </w:p>
    <w:p w14:paraId="7603DCB4" w14:textId="77777777" w:rsidR="005B0625" w:rsidRDefault="005B0625" w:rsidP="005B0625">
      <w:pPr>
        <w:spacing w:after="0" w:line="240" w:lineRule="auto"/>
        <w:rPr>
          <w:rFonts w:ascii="Verdana" w:hAnsi="Verdana"/>
          <w:sz w:val="20"/>
          <w:szCs w:val="20"/>
        </w:rPr>
      </w:pPr>
    </w:p>
    <w:p w14:paraId="0D36CA19" w14:textId="77777777" w:rsidR="005B0625" w:rsidRDefault="005B0625" w:rsidP="005B0625">
      <w:pPr>
        <w:spacing w:after="0" w:line="240" w:lineRule="auto"/>
        <w:rPr>
          <w:rFonts w:ascii="Verdana" w:hAnsi="Verdana"/>
          <w:sz w:val="20"/>
          <w:szCs w:val="20"/>
        </w:rPr>
      </w:pPr>
    </w:p>
    <w:p w14:paraId="4329B31C" w14:textId="26DEF80C" w:rsidR="00EE6876" w:rsidRPr="00042F16" w:rsidRDefault="00EE6876" w:rsidP="005B0625">
      <w:pPr>
        <w:spacing w:after="0" w:line="240" w:lineRule="auto"/>
        <w:rPr>
          <w:rFonts w:ascii="Verdana" w:hAnsi="Verdana"/>
          <w:sz w:val="20"/>
          <w:szCs w:val="20"/>
        </w:rPr>
      </w:pPr>
      <w:r w:rsidRPr="00042F16">
        <w:rPr>
          <w:rFonts w:ascii="Verdana" w:hAnsi="Verdana"/>
          <w:sz w:val="20"/>
          <w:szCs w:val="20"/>
        </w:rPr>
        <w:t>At the company level:</w:t>
      </w:r>
    </w:p>
    <w:p w14:paraId="52DEA5C5" w14:textId="1B8C9BFB" w:rsidR="00EE6876" w:rsidRPr="00042F16" w:rsidRDefault="00EE6876" w:rsidP="005B0625">
      <w:pPr>
        <w:pStyle w:val="ListParagraph"/>
        <w:numPr>
          <w:ilvl w:val="0"/>
          <w:numId w:val="15"/>
        </w:numPr>
        <w:spacing w:after="0" w:line="240" w:lineRule="auto"/>
        <w:rPr>
          <w:rFonts w:ascii="Verdana" w:hAnsi="Verdana"/>
          <w:sz w:val="20"/>
          <w:szCs w:val="20"/>
        </w:rPr>
      </w:pPr>
      <w:r w:rsidRPr="00042F16">
        <w:rPr>
          <w:rFonts w:ascii="Verdana" w:hAnsi="Verdana"/>
          <w:sz w:val="20"/>
          <w:szCs w:val="20"/>
        </w:rPr>
        <w:t>The investment strategy for its own account is limited to bonds or house funds. No trading book.</w:t>
      </w:r>
    </w:p>
    <w:p w14:paraId="09F3D95B" w14:textId="77777777" w:rsidR="005B0625" w:rsidRDefault="005B0625" w:rsidP="005B0625">
      <w:pPr>
        <w:spacing w:after="0" w:line="240" w:lineRule="auto"/>
        <w:rPr>
          <w:rFonts w:ascii="Verdana" w:hAnsi="Verdana"/>
          <w:sz w:val="20"/>
          <w:szCs w:val="20"/>
        </w:rPr>
      </w:pPr>
    </w:p>
    <w:p w14:paraId="7C48BDED" w14:textId="612FCD3D" w:rsidR="00EE6876" w:rsidRPr="00042F16" w:rsidRDefault="00EE6876" w:rsidP="005B0625">
      <w:pPr>
        <w:spacing w:after="0" w:line="240" w:lineRule="auto"/>
        <w:rPr>
          <w:rFonts w:ascii="Verdana" w:hAnsi="Verdana"/>
          <w:sz w:val="20"/>
          <w:szCs w:val="20"/>
        </w:rPr>
      </w:pPr>
      <w:r w:rsidRPr="00042F16">
        <w:rPr>
          <w:rFonts w:ascii="Verdana" w:hAnsi="Verdana"/>
          <w:sz w:val="20"/>
          <w:szCs w:val="20"/>
        </w:rPr>
        <w:t>At the clients and funds levels:</w:t>
      </w:r>
    </w:p>
    <w:p w14:paraId="4E64C63C" w14:textId="2B552E4F" w:rsidR="00EE6876" w:rsidRPr="00042F16" w:rsidRDefault="00F360CB" w:rsidP="005B0625">
      <w:pPr>
        <w:pStyle w:val="ListParagraph"/>
        <w:numPr>
          <w:ilvl w:val="0"/>
          <w:numId w:val="15"/>
        </w:numPr>
        <w:spacing w:after="0" w:line="240" w:lineRule="auto"/>
        <w:rPr>
          <w:rFonts w:ascii="Verdana" w:hAnsi="Verdana"/>
          <w:sz w:val="20"/>
          <w:szCs w:val="20"/>
        </w:rPr>
      </w:pPr>
      <w:r w:rsidRPr="00042F16">
        <w:rPr>
          <w:rFonts w:ascii="Verdana" w:hAnsi="Verdana"/>
          <w:sz w:val="20"/>
          <w:szCs w:val="20"/>
        </w:rPr>
        <w:t xml:space="preserve">The AMD applies a vigilant and prudent investment strategy towards </w:t>
      </w:r>
      <w:r w:rsidR="00EE6876" w:rsidRPr="00042F16">
        <w:rPr>
          <w:rFonts w:ascii="Verdana" w:hAnsi="Verdana"/>
          <w:sz w:val="20"/>
          <w:szCs w:val="20"/>
        </w:rPr>
        <w:t>Clients and fund investments</w:t>
      </w:r>
      <w:r w:rsidRPr="00042F16">
        <w:rPr>
          <w:rFonts w:ascii="Verdana" w:hAnsi="Verdana"/>
          <w:sz w:val="20"/>
          <w:szCs w:val="20"/>
        </w:rPr>
        <w:t xml:space="preserve"> resulting </w:t>
      </w:r>
      <w:r w:rsidR="00EE6876" w:rsidRPr="00042F16">
        <w:rPr>
          <w:rFonts w:ascii="Verdana" w:hAnsi="Verdana"/>
          <w:sz w:val="20"/>
          <w:szCs w:val="20"/>
        </w:rPr>
        <w:t>in investments mainly limited to listed equities, highly rated c</w:t>
      </w:r>
      <w:r w:rsidRPr="00042F16">
        <w:rPr>
          <w:rFonts w:ascii="Verdana" w:hAnsi="Verdana"/>
          <w:sz w:val="20"/>
          <w:szCs w:val="20"/>
        </w:rPr>
        <w:t>orporate fixed income and high</w:t>
      </w:r>
      <w:r w:rsidR="00EE6876" w:rsidRPr="00042F16">
        <w:rPr>
          <w:rFonts w:ascii="Verdana" w:hAnsi="Verdana"/>
          <w:sz w:val="20"/>
          <w:szCs w:val="20"/>
        </w:rPr>
        <w:t xml:space="preserve"> quality government bonds. </w:t>
      </w:r>
    </w:p>
    <w:p w14:paraId="0B15DD18" w14:textId="721DD3B5" w:rsidR="00EE6876" w:rsidRPr="00042F16" w:rsidRDefault="00F360CB" w:rsidP="005B0625">
      <w:pPr>
        <w:pStyle w:val="ListParagraph"/>
        <w:numPr>
          <w:ilvl w:val="0"/>
          <w:numId w:val="15"/>
        </w:numPr>
        <w:spacing w:after="0" w:line="240" w:lineRule="auto"/>
        <w:rPr>
          <w:rFonts w:ascii="Verdana" w:hAnsi="Verdana"/>
          <w:sz w:val="20"/>
          <w:szCs w:val="20"/>
        </w:rPr>
      </w:pPr>
      <w:r w:rsidRPr="00042F16">
        <w:rPr>
          <w:rFonts w:ascii="Verdana" w:hAnsi="Verdana"/>
          <w:sz w:val="20"/>
          <w:szCs w:val="20"/>
        </w:rPr>
        <w:t>The RM department regularly watches out c</w:t>
      </w:r>
      <w:r w:rsidR="00EE6876" w:rsidRPr="00042F16">
        <w:rPr>
          <w:rFonts w:ascii="Verdana" w:hAnsi="Verdana"/>
          <w:sz w:val="20"/>
          <w:szCs w:val="20"/>
        </w:rPr>
        <w:t xml:space="preserve">lients and fund investments </w:t>
      </w:r>
      <w:r w:rsidRPr="00042F16">
        <w:rPr>
          <w:rFonts w:ascii="Verdana" w:hAnsi="Verdana"/>
          <w:sz w:val="20"/>
          <w:szCs w:val="20"/>
        </w:rPr>
        <w:t xml:space="preserve">with a higher </w:t>
      </w:r>
      <w:r w:rsidR="00EE6876" w:rsidRPr="00042F16">
        <w:rPr>
          <w:rFonts w:ascii="Verdana" w:hAnsi="Verdana"/>
          <w:sz w:val="20"/>
          <w:szCs w:val="20"/>
        </w:rPr>
        <w:t>ris</w:t>
      </w:r>
      <w:r w:rsidRPr="00042F16">
        <w:rPr>
          <w:rFonts w:ascii="Verdana" w:hAnsi="Verdana"/>
          <w:sz w:val="20"/>
          <w:szCs w:val="20"/>
        </w:rPr>
        <w:t>k profile</w:t>
      </w:r>
      <w:r w:rsidR="00EE6876" w:rsidRPr="00042F16">
        <w:rPr>
          <w:rFonts w:ascii="Verdana" w:hAnsi="Verdana"/>
          <w:sz w:val="20"/>
          <w:szCs w:val="20"/>
        </w:rPr>
        <w:t xml:space="preserve">. </w:t>
      </w:r>
    </w:p>
    <w:p w14:paraId="60CF8768" w14:textId="54A83C4D" w:rsidR="00EE6876" w:rsidRPr="00042F16" w:rsidRDefault="00EE6876" w:rsidP="005B0625">
      <w:pPr>
        <w:pStyle w:val="ListParagraph"/>
        <w:numPr>
          <w:ilvl w:val="0"/>
          <w:numId w:val="15"/>
        </w:numPr>
        <w:spacing w:after="0" w:line="240" w:lineRule="auto"/>
        <w:rPr>
          <w:rFonts w:ascii="Verdana" w:hAnsi="Verdana"/>
          <w:sz w:val="20"/>
          <w:szCs w:val="20"/>
        </w:rPr>
      </w:pPr>
      <w:r w:rsidRPr="00042F16">
        <w:rPr>
          <w:rFonts w:ascii="Verdana" w:hAnsi="Verdana"/>
          <w:sz w:val="20"/>
          <w:szCs w:val="20"/>
        </w:rPr>
        <w:t xml:space="preserve">Minimum Investment grade rating for fixed income securities. </w:t>
      </w:r>
    </w:p>
    <w:p w14:paraId="148A88A3" w14:textId="730C741B" w:rsidR="00EE6876" w:rsidRPr="00042F16" w:rsidRDefault="00EE6876" w:rsidP="005B0625">
      <w:pPr>
        <w:pStyle w:val="ListParagraph"/>
        <w:numPr>
          <w:ilvl w:val="0"/>
          <w:numId w:val="15"/>
        </w:numPr>
        <w:spacing w:after="0" w:line="240" w:lineRule="auto"/>
        <w:rPr>
          <w:rFonts w:ascii="Verdana" w:hAnsi="Verdana"/>
          <w:sz w:val="20"/>
          <w:szCs w:val="20"/>
        </w:rPr>
      </w:pPr>
      <w:r w:rsidRPr="00042F16">
        <w:rPr>
          <w:rFonts w:ascii="Verdana" w:hAnsi="Verdana"/>
          <w:sz w:val="20"/>
          <w:szCs w:val="20"/>
        </w:rPr>
        <w:t xml:space="preserve">Reporting about issuers positions are regularly provided by Risk Management. </w:t>
      </w:r>
    </w:p>
    <w:p w14:paraId="01E193C7" w14:textId="1F618F56" w:rsidR="00EE6876" w:rsidRPr="00042F16" w:rsidRDefault="00EE6876" w:rsidP="005B0625">
      <w:pPr>
        <w:pStyle w:val="ListParagraph"/>
        <w:numPr>
          <w:ilvl w:val="0"/>
          <w:numId w:val="15"/>
        </w:numPr>
        <w:spacing w:after="0" w:line="240" w:lineRule="auto"/>
        <w:rPr>
          <w:rFonts w:ascii="Verdana" w:hAnsi="Verdana"/>
          <w:sz w:val="20"/>
          <w:szCs w:val="20"/>
        </w:rPr>
      </w:pPr>
      <w:r w:rsidRPr="00042F16">
        <w:rPr>
          <w:rFonts w:ascii="Verdana" w:hAnsi="Verdana"/>
          <w:sz w:val="20"/>
          <w:szCs w:val="20"/>
        </w:rPr>
        <w:t>No open architecture.</w:t>
      </w:r>
    </w:p>
    <w:p w14:paraId="6AE63B58" w14:textId="77777777" w:rsidR="005B0625" w:rsidRDefault="005B0625" w:rsidP="005B0625">
      <w:pPr>
        <w:spacing w:after="0" w:line="240" w:lineRule="auto"/>
        <w:rPr>
          <w:rFonts w:ascii="Verdana" w:hAnsi="Verdana"/>
          <w:sz w:val="20"/>
          <w:szCs w:val="20"/>
        </w:rPr>
      </w:pPr>
    </w:p>
    <w:p w14:paraId="53D79789" w14:textId="7B37F46B" w:rsidR="00603DCC" w:rsidRPr="00042F16" w:rsidRDefault="000A48C2" w:rsidP="005B0625">
      <w:pPr>
        <w:spacing w:after="0" w:line="240" w:lineRule="auto"/>
        <w:rPr>
          <w:rFonts w:ascii="Verdana" w:hAnsi="Verdana"/>
          <w:sz w:val="20"/>
          <w:szCs w:val="20"/>
        </w:rPr>
      </w:pPr>
      <w:r w:rsidRPr="00042F16">
        <w:rPr>
          <w:rFonts w:ascii="Verdana" w:hAnsi="Verdana"/>
          <w:sz w:val="20"/>
          <w:szCs w:val="20"/>
        </w:rPr>
        <w:t>To assess the market risk, RM decided to apply scenarios of market down movemen</w:t>
      </w:r>
      <w:r w:rsidR="00FC1B03" w:rsidRPr="00042F16">
        <w:rPr>
          <w:rFonts w:ascii="Verdana" w:hAnsi="Verdana"/>
          <w:sz w:val="20"/>
          <w:szCs w:val="20"/>
        </w:rPr>
        <w:t xml:space="preserve">ts on own funds representing </w:t>
      </w:r>
      <w:r w:rsidRPr="00042F16">
        <w:rPr>
          <w:rFonts w:ascii="Verdana" w:hAnsi="Verdana"/>
          <w:sz w:val="20"/>
          <w:szCs w:val="20"/>
        </w:rPr>
        <w:t xml:space="preserve">the main investment of </w:t>
      </w:r>
      <w:r w:rsidR="00332E2A" w:rsidRPr="00042F16">
        <w:rPr>
          <w:rFonts w:ascii="Verdana" w:hAnsi="Verdana"/>
          <w:sz w:val="20"/>
          <w:szCs w:val="20"/>
        </w:rPr>
        <w:t>the</w:t>
      </w:r>
      <w:r w:rsidRPr="00042F16">
        <w:rPr>
          <w:rFonts w:ascii="Verdana" w:hAnsi="Verdana"/>
          <w:sz w:val="20"/>
          <w:szCs w:val="20"/>
        </w:rPr>
        <w:t xml:space="preserve"> assets. A simulation on</w:t>
      </w:r>
      <w:r w:rsidR="00FC1B03" w:rsidRPr="00042F16">
        <w:rPr>
          <w:rFonts w:ascii="Verdana" w:hAnsi="Verdana"/>
          <w:sz w:val="20"/>
          <w:szCs w:val="20"/>
        </w:rPr>
        <w:t xml:space="preserve"> direct investments enable to measure the</w:t>
      </w:r>
      <w:r w:rsidR="00056D98" w:rsidRPr="00042F16">
        <w:rPr>
          <w:rFonts w:ascii="Verdana" w:hAnsi="Verdana"/>
          <w:sz w:val="20"/>
          <w:szCs w:val="20"/>
        </w:rPr>
        <w:t xml:space="preserve"> impacts</w:t>
      </w:r>
      <w:r w:rsidR="00FC1B03" w:rsidRPr="00042F16">
        <w:rPr>
          <w:rFonts w:ascii="Verdana" w:hAnsi="Verdana"/>
          <w:sz w:val="20"/>
          <w:szCs w:val="20"/>
        </w:rPr>
        <w:t xml:space="preserve"> of those scenarios</w:t>
      </w:r>
      <w:r w:rsidR="00056D98" w:rsidRPr="00042F16">
        <w:rPr>
          <w:rFonts w:ascii="Verdana" w:hAnsi="Verdana"/>
          <w:sz w:val="20"/>
          <w:szCs w:val="20"/>
        </w:rPr>
        <w:t xml:space="preserve"> on fixed income</w:t>
      </w:r>
      <w:r w:rsidR="00FC1B03" w:rsidRPr="00042F16">
        <w:rPr>
          <w:rFonts w:ascii="Verdana" w:hAnsi="Verdana"/>
          <w:sz w:val="20"/>
          <w:szCs w:val="20"/>
        </w:rPr>
        <w:t xml:space="preserve"> funds</w:t>
      </w:r>
      <w:r w:rsidRPr="00042F16">
        <w:rPr>
          <w:rFonts w:ascii="Verdana" w:hAnsi="Verdana"/>
          <w:sz w:val="20"/>
          <w:szCs w:val="20"/>
        </w:rPr>
        <w:t xml:space="preserve">, </w:t>
      </w:r>
      <w:r w:rsidR="000B56A4" w:rsidRPr="00042F16">
        <w:rPr>
          <w:rFonts w:ascii="Verdana" w:hAnsi="Verdana"/>
          <w:sz w:val="20"/>
          <w:szCs w:val="20"/>
        </w:rPr>
        <w:t>on</w:t>
      </w:r>
      <w:r w:rsidRPr="00042F16">
        <w:rPr>
          <w:rFonts w:ascii="Verdana" w:hAnsi="Verdana"/>
          <w:sz w:val="20"/>
          <w:szCs w:val="20"/>
        </w:rPr>
        <w:t xml:space="preserve"> securities investments and </w:t>
      </w:r>
      <w:r w:rsidR="000B56A4" w:rsidRPr="00042F16">
        <w:rPr>
          <w:rFonts w:ascii="Verdana" w:hAnsi="Verdana"/>
          <w:sz w:val="20"/>
          <w:szCs w:val="20"/>
        </w:rPr>
        <w:t>on interest rates</w:t>
      </w:r>
      <w:r w:rsidR="00332E2A" w:rsidRPr="00042F16">
        <w:rPr>
          <w:rFonts w:ascii="Verdana" w:hAnsi="Verdana"/>
          <w:sz w:val="20"/>
          <w:szCs w:val="20"/>
        </w:rPr>
        <w:t>. RM has</w:t>
      </w:r>
      <w:r w:rsidRPr="00042F16">
        <w:rPr>
          <w:rFonts w:ascii="Verdana" w:hAnsi="Verdana"/>
          <w:sz w:val="20"/>
          <w:szCs w:val="20"/>
        </w:rPr>
        <w:t xml:space="preserve"> 16</w:t>
      </w:r>
      <w:r w:rsidR="00332E2A" w:rsidRPr="00042F16">
        <w:rPr>
          <w:rFonts w:ascii="Verdana" w:hAnsi="Verdana"/>
          <w:sz w:val="20"/>
          <w:szCs w:val="20"/>
        </w:rPr>
        <w:t xml:space="preserve"> scenarios and the most</w:t>
      </w:r>
      <w:r w:rsidRPr="00042F16">
        <w:rPr>
          <w:rFonts w:ascii="Verdana" w:hAnsi="Verdana"/>
          <w:sz w:val="20"/>
          <w:szCs w:val="20"/>
        </w:rPr>
        <w:t xml:space="preserve"> </w:t>
      </w:r>
      <w:r w:rsidR="00332E2A" w:rsidRPr="00042F16">
        <w:rPr>
          <w:rFonts w:ascii="Verdana" w:hAnsi="Verdana"/>
          <w:sz w:val="20"/>
          <w:szCs w:val="20"/>
        </w:rPr>
        <w:t>affecting</w:t>
      </w:r>
      <w:r w:rsidRPr="00042F16">
        <w:rPr>
          <w:rFonts w:ascii="Verdana" w:hAnsi="Verdana"/>
          <w:sz w:val="20"/>
          <w:szCs w:val="20"/>
        </w:rPr>
        <w:t xml:space="preserve"> one</w:t>
      </w:r>
      <w:r w:rsidR="000B56A4" w:rsidRPr="00042F16">
        <w:rPr>
          <w:rFonts w:ascii="Verdana" w:hAnsi="Verdana"/>
          <w:sz w:val="20"/>
          <w:szCs w:val="20"/>
        </w:rPr>
        <w:t xml:space="preserve"> has been used to compute the internal capital requirement</w:t>
      </w:r>
      <w:r w:rsidRPr="00042F16">
        <w:rPr>
          <w:rFonts w:ascii="Verdana" w:hAnsi="Verdana"/>
          <w:sz w:val="20"/>
          <w:szCs w:val="20"/>
        </w:rPr>
        <w:t xml:space="preserve"> </w:t>
      </w:r>
      <w:r w:rsidR="000B56A4" w:rsidRPr="00042F16">
        <w:rPr>
          <w:rFonts w:ascii="Verdana" w:hAnsi="Verdana"/>
          <w:sz w:val="20"/>
          <w:szCs w:val="20"/>
        </w:rPr>
        <w:t>(</w:t>
      </w:r>
      <w:r w:rsidRPr="00042F16">
        <w:rPr>
          <w:rFonts w:ascii="Verdana" w:hAnsi="Verdana"/>
          <w:sz w:val="20"/>
          <w:szCs w:val="20"/>
        </w:rPr>
        <w:t>Asian Ma</w:t>
      </w:r>
      <w:r w:rsidR="000B56A4" w:rsidRPr="00042F16">
        <w:rPr>
          <w:rFonts w:ascii="Verdana" w:hAnsi="Verdana"/>
          <w:sz w:val="20"/>
          <w:szCs w:val="20"/>
        </w:rPr>
        <w:t>rket slowdown May-October 2008).</w:t>
      </w:r>
    </w:p>
    <w:p w14:paraId="7C802F72" w14:textId="55322B9E" w:rsidR="00332E2A" w:rsidRPr="00042F16" w:rsidRDefault="00332E2A" w:rsidP="005B0625">
      <w:pPr>
        <w:spacing w:after="0" w:line="240" w:lineRule="auto"/>
        <w:rPr>
          <w:rFonts w:ascii="Verdana" w:hAnsi="Verdana"/>
          <w:sz w:val="20"/>
          <w:szCs w:val="20"/>
        </w:rPr>
      </w:pPr>
      <w:r w:rsidRPr="00042F16">
        <w:rPr>
          <w:rFonts w:ascii="Verdana" w:hAnsi="Verdana"/>
          <w:sz w:val="20"/>
          <w:szCs w:val="20"/>
        </w:rPr>
        <w:t xml:space="preserve">A capital requirement </w:t>
      </w:r>
      <w:r w:rsidR="00056D98" w:rsidRPr="00042F16">
        <w:rPr>
          <w:rFonts w:ascii="Verdana" w:hAnsi="Verdana"/>
          <w:sz w:val="20"/>
          <w:szCs w:val="20"/>
        </w:rPr>
        <w:t>of 4</w:t>
      </w:r>
      <w:proofErr w:type="gramStart"/>
      <w:r w:rsidR="00FD71FB">
        <w:rPr>
          <w:rFonts w:ascii="Verdana" w:hAnsi="Verdana"/>
          <w:sz w:val="20"/>
          <w:szCs w:val="20"/>
        </w:rPr>
        <w:t>,8</w:t>
      </w:r>
      <w:proofErr w:type="gramEnd"/>
      <w:r w:rsidR="00056D98" w:rsidRPr="00042F16">
        <w:rPr>
          <w:rFonts w:ascii="Verdana" w:hAnsi="Verdana"/>
          <w:sz w:val="20"/>
          <w:szCs w:val="20"/>
        </w:rPr>
        <w:t xml:space="preserve"> </w:t>
      </w:r>
      <w:r w:rsidR="00F47B30" w:rsidRPr="00042F16">
        <w:rPr>
          <w:rFonts w:ascii="Verdana" w:hAnsi="Verdana"/>
          <w:sz w:val="20"/>
          <w:szCs w:val="20"/>
        </w:rPr>
        <w:t xml:space="preserve">million </w:t>
      </w:r>
      <w:r w:rsidR="00056D98" w:rsidRPr="00042F16">
        <w:rPr>
          <w:rFonts w:ascii="Verdana" w:hAnsi="Verdana"/>
          <w:sz w:val="20"/>
          <w:szCs w:val="20"/>
        </w:rPr>
        <w:t>EUR has been allocated in the ICAAP process:</w:t>
      </w:r>
      <w:r w:rsidRPr="00042F16">
        <w:rPr>
          <w:rFonts w:ascii="Verdana" w:hAnsi="Verdana"/>
          <w:sz w:val="20"/>
          <w:szCs w:val="20"/>
        </w:rPr>
        <w:t xml:space="preserve"> </w:t>
      </w:r>
    </w:p>
    <w:p w14:paraId="1D7F7D28" w14:textId="77777777" w:rsidR="005B0625" w:rsidRDefault="005B0625" w:rsidP="005B0625">
      <w:pPr>
        <w:spacing w:after="0" w:line="240" w:lineRule="auto"/>
        <w:rPr>
          <w:rFonts w:ascii="Verdana" w:hAnsi="Verdana"/>
          <w:sz w:val="20"/>
          <w:szCs w:val="20"/>
        </w:rPr>
      </w:pPr>
    </w:p>
    <w:p w14:paraId="78309B85" w14:textId="328632B0" w:rsidR="00056D98" w:rsidRDefault="00056D98" w:rsidP="005B0625">
      <w:pPr>
        <w:spacing w:after="0" w:line="240" w:lineRule="auto"/>
        <w:rPr>
          <w:rFonts w:ascii="Verdana" w:hAnsi="Verdana"/>
          <w:sz w:val="20"/>
          <w:szCs w:val="20"/>
        </w:rPr>
      </w:pPr>
      <w:r w:rsidRPr="00042F16">
        <w:rPr>
          <w:rFonts w:ascii="Verdana" w:hAnsi="Verdana"/>
          <w:sz w:val="20"/>
          <w:szCs w:val="20"/>
        </w:rPr>
        <w:t xml:space="preserve">This table below gives a comparison of the Risk weighted exposure </w:t>
      </w:r>
      <w:r w:rsidR="008B0464" w:rsidRPr="00042F16">
        <w:rPr>
          <w:rFonts w:ascii="Verdana" w:hAnsi="Verdana"/>
          <w:sz w:val="20"/>
          <w:szCs w:val="20"/>
        </w:rPr>
        <w:t>of the Market risk with the capital requirements</w:t>
      </w:r>
      <w:r w:rsidR="00452716" w:rsidRPr="00042F16">
        <w:rPr>
          <w:rFonts w:ascii="Verdana" w:hAnsi="Verdana"/>
          <w:sz w:val="20"/>
          <w:szCs w:val="20"/>
        </w:rPr>
        <w:t xml:space="preserve"> under the Pillar 1 of the CRR</w:t>
      </w:r>
      <w:r w:rsidR="008B0464" w:rsidRPr="00042F16">
        <w:rPr>
          <w:rFonts w:ascii="Verdana" w:hAnsi="Verdana"/>
          <w:sz w:val="20"/>
          <w:szCs w:val="20"/>
        </w:rPr>
        <w:t>.</w:t>
      </w:r>
    </w:p>
    <w:p w14:paraId="42061790" w14:textId="77777777" w:rsidR="005B0625" w:rsidRPr="00042F16" w:rsidRDefault="005B0625" w:rsidP="005B0625">
      <w:pPr>
        <w:spacing w:after="0" w:line="240" w:lineRule="auto"/>
        <w:rPr>
          <w:rFonts w:ascii="Verdana" w:hAnsi="Verdana"/>
          <w:sz w:val="20"/>
          <w:szCs w:val="20"/>
        </w:rPr>
      </w:pPr>
    </w:p>
    <w:p w14:paraId="00A8A9FE" w14:textId="1DA20C5F" w:rsidR="00595230" w:rsidRPr="005B0625" w:rsidRDefault="00851FCD" w:rsidP="005B0625">
      <w:pPr>
        <w:pStyle w:val="Caption"/>
        <w:spacing w:after="0"/>
        <w:rPr>
          <w:rFonts w:ascii="Verdana" w:hAnsi="Verdana"/>
          <w:color w:val="auto"/>
          <w:sz w:val="20"/>
          <w:szCs w:val="20"/>
        </w:rPr>
      </w:pPr>
      <w:bookmarkStart w:id="70" w:name="_Toc22716634"/>
      <w:r w:rsidRPr="005B0625">
        <w:rPr>
          <w:rFonts w:ascii="Verdana" w:hAnsi="Verdana"/>
          <w:color w:val="auto"/>
          <w:sz w:val="20"/>
          <w:szCs w:val="20"/>
        </w:rPr>
        <w:t xml:space="preserve">Table </w:t>
      </w:r>
      <w:r w:rsidRPr="005B0625">
        <w:rPr>
          <w:rFonts w:ascii="Verdana" w:hAnsi="Verdana"/>
          <w:color w:val="auto"/>
          <w:sz w:val="20"/>
          <w:szCs w:val="20"/>
        </w:rPr>
        <w:fldChar w:fldCharType="begin"/>
      </w:r>
      <w:r w:rsidRPr="005B0625">
        <w:rPr>
          <w:rFonts w:ascii="Verdana" w:hAnsi="Verdana"/>
          <w:color w:val="auto"/>
          <w:sz w:val="20"/>
          <w:szCs w:val="20"/>
        </w:rPr>
        <w:instrText xml:space="preserve"> SEQ Table \* ARABIC </w:instrText>
      </w:r>
      <w:r w:rsidRPr="005B0625">
        <w:rPr>
          <w:rFonts w:ascii="Verdana" w:hAnsi="Verdana"/>
          <w:color w:val="auto"/>
          <w:sz w:val="20"/>
          <w:szCs w:val="20"/>
        </w:rPr>
        <w:fldChar w:fldCharType="separate"/>
      </w:r>
      <w:r w:rsidR="00E7065A" w:rsidRPr="005B0625">
        <w:rPr>
          <w:rFonts w:ascii="Verdana" w:hAnsi="Verdana"/>
          <w:noProof/>
          <w:color w:val="auto"/>
          <w:sz w:val="20"/>
          <w:szCs w:val="20"/>
        </w:rPr>
        <w:t>10</w:t>
      </w:r>
      <w:r w:rsidRPr="005B0625">
        <w:rPr>
          <w:rFonts w:ascii="Verdana" w:hAnsi="Verdana"/>
          <w:color w:val="auto"/>
          <w:sz w:val="20"/>
          <w:szCs w:val="20"/>
        </w:rPr>
        <w:fldChar w:fldCharType="end"/>
      </w:r>
      <w:r w:rsidRPr="005B0625">
        <w:rPr>
          <w:rFonts w:ascii="Verdana" w:hAnsi="Verdana"/>
          <w:color w:val="auto"/>
          <w:sz w:val="20"/>
          <w:szCs w:val="20"/>
        </w:rPr>
        <w:t xml:space="preserve"> : Exposure to market risk</w:t>
      </w:r>
      <w:bookmarkEnd w:id="70"/>
    </w:p>
    <w:tbl>
      <w:tblPr>
        <w:tblStyle w:val="TableGrid"/>
        <w:tblW w:w="0" w:type="auto"/>
        <w:tblLook w:val="04A0" w:firstRow="1" w:lastRow="0" w:firstColumn="1" w:lastColumn="0" w:noHBand="0" w:noVBand="1"/>
      </w:tblPr>
      <w:tblGrid>
        <w:gridCol w:w="3964"/>
        <w:gridCol w:w="2693"/>
        <w:gridCol w:w="2693"/>
      </w:tblGrid>
      <w:tr w:rsidR="00883CEA" w:rsidRPr="00042F16" w14:paraId="7847EAF5" w14:textId="77777777" w:rsidTr="005B0625">
        <w:tc>
          <w:tcPr>
            <w:tcW w:w="3964" w:type="dxa"/>
            <w:shd w:val="clear" w:color="auto" w:fill="6CACE4"/>
          </w:tcPr>
          <w:p w14:paraId="261FA6F6" w14:textId="7A9908CE" w:rsidR="00F00701" w:rsidRPr="00042F16" w:rsidRDefault="00595230" w:rsidP="005B0625">
            <w:pPr>
              <w:rPr>
                <w:rFonts w:ascii="Verdana" w:hAnsi="Verdana"/>
                <w:b/>
                <w:color w:val="FFFFFF" w:themeColor="background1"/>
                <w:sz w:val="20"/>
                <w:szCs w:val="20"/>
              </w:rPr>
            </w:pPr>
            <w:r w:rsidRPr="00042F16">
              <w:rPr>
                <w:rFonts w:ascii="Verdana" w:hAnsi="Verdana"/>
                <w:b/>
                <w:color w:val="FFFFFF" w:themeColor="background1"/>
                <w:sz w:val="20"/>
                <w:szCs w:val="20"/>
              </w:rPr>
              <w:t>Pillar 1 (standardised approach)</w:t>
            </w:r>
          </w:p>
        </w:tc>
        <w:tc>
          <w:tcPr>
            <w:tcW w:w="2693" w:type="dxa"/>
            <w:shd w:val="clear" w:color="auto" w:fill="6CACE4"/>
          </w:tcPr>
          <w:p w14:paraId="2754EEF4" w14:textId="0346AA5F" w:rsidR="00F00701" w:rsidRPr="00042F16" w:rsidRDefault="00056D98" w:rsidP="005B0625">
            <w:pPr>
              <w:rPr>
                <w:rFonts w:ascii="Verdana" w:hAnsi="Verdana"/>
                <w:b/>
                <w:color w:val="FFFFFF" w:themeColor="background1"/>
                <w:sz w:val="20"/>
                <w:szCs w:val="20"/>
              </w:rPr>
            </w:pPr>
            <w:r w:rsidRPr="00042F16">
              <w:rPr>
                <w:rFonts w:ascii="Verdana" w:hAnsi="Verdana"/>
                <w:b/>
                <w:color w:val="FFFFFF" w:themeColor="background1"/>
                <w:sz w:val="20"/>
                <w:szCs w:val="20"/>
              </w:rPr>
              <w:t>RW exposures</w:t>
            </w:r>
          </w:p>
        </w:tc>
        <w:tc>
          <w:tcPr>
            <w:tcW w:w="2693" w:type="dxa"/>
            <w:shd w:val="clear" w:color="auto" w:fill="6CACE4"/>
          </w:tcPr>
          <w:p w14:paraId="005FDA57" w14:textId="17FC2449" w:rsidR="00F00701" w:rsidRPr="00042F16" w:rsidRDefault="00F00701" w:rsidP="005B0625">
            <w:pPr>
              <w:rPr>
                <w:rFonts w:ascii="Verdana" w:hAnsi="Verdana"/>
                <w:b/>
                <w:color w:val="FFFFFF" w:themeColor="background1"/>
                <w:sz w:val="20"/>
                <w:szCs w:val="20"/>
              </w:rPr>
            </w:pPr>
            <w:r w:rsidRPr="00042F16">
              <w:rPr>
                <w:rFonts w:ascii="Verdana" w:hAnsi="Verdana"/>
                <w:b/>
                <w:color w:val="FFFFFF" w:themeColor="background1"/>
                <w:sz w:val="20"/>
                <w:szCs w:val="20"/>
              </w:rPr>
              <w:t>Capital Requirements</w:t>
            </w:r>
          </w:p>
        </w:tc>
      </w:tr>
      <w:tr w:rsidR="00F00701" w:rsidRPr="00042F16" w14:paraId="5FEA6164" w14:textId="77777777" w:rsidTr="005B0625">
        <w:tc>
          <w:tcPr>
            <w:tcW w:w="3964" w:type="dxa"/>
          </w:tcPr>
          <w:p w14:paraId="7A0DB169" w14:textId="62718D85" w:rsidR="00F00701" w:rsidRPr="00042F16" w:rsidRDefault="00F00701" w:rsidP="005B0625">
            <w:pPr>
              <w:rPr>
                <w:rFonts w:ascii="Verdana" w:hAnsi="Verdana"/>
                <w:sz w:val="20"/>
                <w:szCs w:val="20"/>
              </w:rPr>
            </w:pPr>
            <w:r w:rsidRPr="00042F16">
              <w:rPr>
                <w:rFonts w:ascii="Verdana" w:hAnsi="Verdana"/>
                <w:sz w:val="20"/>
                <w:szCs w:val="20"/>
              </w:rPr>
              <w:t>Outright products</w:t>
            </w:r>
          </w:p>
        </w:tc>
        <w:tc>
          <w:tcPr>
            <w:tcW w:w="2693" w:type="dxa"/>
            <w:shd w:val="clear" w:color="auto" w:fill="auto"/>
          </w:tcPr>
          <w:p w14:paraId="7A5C13D5" w14:textId="77777777" w:rsidR="00F00701" w:rsidRPr="00042F16" w:rsidRDefault="00F00701" w:rsidP="005B0625">
            <w:pPr>
              <w:jc w:val="right"/>
              <w:rPr>
                <w:rFonts w:ascii="Verdana" w:hAnsi="Verdana"/>
                <w:sz w:val="20"/>
                <w:szCs w:val="20"/>
              </w:rPr>
            </w:pPr>
          </w:p>
        </w:tc>
        <w:tc>
          <w:tcPr>
            <w:tcW w:w="2693" w:type="dxa"/>
            <w:shd w:val="clear" w:color="auto" w:fill="auto"/>
          </w:tcPr>
          <w:p w14:paraId="3971DAF9" w14:textId="77777777" w:rsidR="00F00701" w:rsidRPr="00042F16" w:rsidRDefault="00F00701" w:rsidP="005B0625">
            <w:pPr>
              <w:jc w:val="right"/>
              <w:rPr>
                <w:rFonts w:ascii="Verdana" w:hAnsi="Verdana"/>
                <w:sz w:val="20"/>
                <w:szCs w:val="20"/>
              </w:rPr>
            </w:pPr>
          </w:p>
        </w:tc>
      </w:tr>
      <w:tr w:rsidR="00F00701" w:rsidRPr="00042F16" w14:paraId="4C0571D6" w14:textId="77777777" w:rsidTr="00F00701">
        <w:tc>
          <w:tcPr>
            <w:tcW w:w="3964" w:type="dxa"/>
          </w:tcPr>
          <w:p w14:paraId="3DA7187D" w14:textId="3DB1AD4C" w:rsidR="00F00701" w:rsidRPr="00042F16" w:rsidRDefault="00F00701" w:rsidP="005B0625">
            <w:pPr>
              <w:rPr>
                <w:rFonts w:ascii="Verdana" w:hAnsi="Verdana"/>
                <w:sz w:val="20"/>
                <w:szCs w:val="20"/>
              </w:rPr>
            </w:pPr>
            <w:r w:rsidRPr="00042F16">
              <w:rPr>
                <w:rFonts w:ascii="Verdana" w:hAnsi="Verdana"/>
                <w:sz w:val="20"/>
                <w:szCs w:val="20"/>
              </w:rPr>
              <w:t>Interest rate risk (general and specific)</w:t>
            </w:r>
          </w:p>
        </w:tc>
        <w:tc>
          <w:tcPr>
            <w:tcW w:w="2693" w:type="dxa"/>
          </w:tcPr>
          <w:p w14:paraId="4E63411C" w14:textId="4DDD768D" w:rsidR="00F00701" w:rsidRPr="00042F16" w:rsidRDefault="00F00701" w:rsidP="005B0625">
            <w:pPr>
              <w:jc w:val="right"/>
              <w:rPr>
                <w:rFonts w:ascii="Verdana" w:hAnsi="Verdana"/>
                <w:sz w:val="20"/>
                <w:szCs w:val="20"/>
              </w:rPr>
            </w:pPr>
            <w:r w:rsidRPr="00042F16">
              <w:rPr>
                <w:rFonts w:ascii="Verdana" w:hAnsi="Verdana"/>
                <w:sz w:val="20"/>
                <w:szCs w:val="20"/>
              </w:rPr>
              <w:t>0</w:t>
            </w:r>
          </w:p>
        </w:tc>
        <w:tc>
          <w:tcPr>
            <w:tcW w:w="2693" w:type="dxa"/>
          </w:tcPr>
          <w:p w14:paraId="50C5B6DF" w14:textId="140F0300" w:rsidR="00F00701" w:rsidRPr="00042F16" w:rsidRDefault="00F00701" w:rsidP="005B0625">
            <w:pPr>
              <w:jc w:val="right"/>
              <w:rPr>
                <w:rFonts w:ascii="Verdana" w:hAnsi="Verdana"/>
                <w:sz w:val="20"/>
                <w:szCs w:val="20"/>
              </w:rPr>
            </w:pPr>
            <w:r w:rsidRPr="00042F16">
              <w:rPr>
                <w:rFonts w:ascii="Verdana" w:hAnsi="Verdana"/>
                <w:sz w:val="20"/>
                <w:szCs w:val="20"/>
              </w:rPr>
              <w:t>0</w:t>
            </w:r>
          </w:p>
        </w:tc>
      </w:tr>
      <w:tr w:rsidR="00F00701" w:rsidRPr="00042F16" w14:paraId="4167FA79" w14:textId="77777777" w:rsidTr="00F00701">
        <w:tc>
          <w:tcPr>
            <w:tcW w:w="3964" w:type="dxa"/>
          </w:tcPr>
          <w:p w14:paraId="07ECFD01" w14:textId="4E948CCD" w:rsidR="00F00701" w:rsidRPr="00042F16" w:rsidRDefault="00F00701" w:rsidP="005B0625">
            <w:pPr>
              <w:rPr>
                <w:rFonts w:ascii="Verdana" w:hAnsi="Verdana"/>
                <w:sz w:val="20"/>
                <w:szCs w:val="20"/>
              </w:rPr>
            </w:pPr>
            <w:r w:rsidRPr="00042F16">
              <w:rPr>
                <w:rFonts w:ascii="Verdana" w:hAnsi="Verdana"/>
                <w:sz w:val="20"/>
                <w:szCs w:val="20"/>
              </w:rPr>
              <w:t>Equity risk (general and specific)</w:t>
            </w:r>
          </w:p>
        </w:tc>
        <w:tc>
          <w:tcPr>
            <w:tcW w:w="2693" w:type="dxa"/>
          </w:tcPr>
          <w:p w14:paraId="29B2D62C" w14:textId="3BB44CB6" w:rsidR="00F00701" w:rsidRPr="00042F16" w:rsidRDefault="00F00701" w:rsidP="005B0625">
            <w:pPr>
              <w:jc w:val="right"/>
              <w:rPr>
                <w:rFonts w:ascii="Verdana" w:hAnsi="Verdana"/>
                <w:sz w:val="20"/>
                <w:szCs w:val="20"/>
              </w:rPr>
            </w:pPr>
            <w:r w:rsidRPr="00042F16">
              <w:rPr>
                <w:rFonts w:ascii="Verdana" w:hAnsi="Verdana"/>
                <w:sz w:val="20"/>
                <w:szCs w:val="20"/>
              </w:rPr>
              <w:t>0</w:t>
            </w:r>
          </w:p>
        </w:tc>
        <w:tc>
          <w:tcPr>
            <w:tcW w:w="2693" w:type="dxa"/>
          </w:tcPr>
          <w:p w14:paraId="4CCF2269" w14:textId="061F2798" w:rsidR="00F00701" w:rsidRPr="00042F16" w:rsidRDefault="00F00701" w:rsidP="005B0625">
            <w:pPr>
              <w:jc w:val="right"/>
              <w:rPr>
                <w:rFonts w:ascii="Verdana" w:hAnsi="Verdana"/>
                <w:sz w:val="20"/>
                <w:szCs w:val="20"/>
              </w:rPr>
            </w:pPr>
            <w:r w:rsidRPr="00042F16">
              <w:rPr>
                <w:rFonts w:ascii="Verdana" w:hAnsi="Verdana"/>
                <w:sz w:val="20"/>
                <w:szCs w:val="20"/>
              </w:rPr>
              <w:t>0</w:t>
            </w:r>
          </w:p>
        </w:tc>
      </w:tr>
      <w:tr w:rsidR="00F00701" w:rsidRPr="00042F16" w14:paraId="15336718" w14:textId="77777777" w:rsidTr="00F00701">
        <w:tc>
          <w:tcPr>
            <w:tcW w:w="3964" w:type="dxa"/>
          </w:tcPr>
          <w:p w14:paraId="4D00D61D" w14:textId="07B67096" w:rsidR="00F00701" w:rsidRPr="00042F16" w:rsidRDefault="00F00701" w:rsidP="005B0625">
            <w:pPr>
              <w:rPr>
                <w:rFonts w:ascii="Verdana" w:hAnsi="Verdana"/>
                <w:sz w:val="20"/>
                <w:szCs w:val="20"/>
              </w:rPr>
            </w:pPr>
            <w:r w:rsidRPr="00042F16">
              <w:rPr>
                <w:rFonts w:ascii="Verdana" w:hAnsi="Verdana"/>
                <w:sz w:val="20"/>
                <w:szCs w:val="20"/>
              </w:rPr>
              <w:t>Foreign exchange risk</w:t>
            </w:r>
          </w:p>
        </w:tc>
        <w:tc>
          <w:tcPr>
            <w:tcW w:w="2693" w:type="dxa"/>
          </w:tcPr>
          <w:p w14:paraId="3422EE6D" w14:textId="6081AD06" w:rsidR="00F00701" w:rsidRPr="00042F16" w:rsidRDefault="00FD71FB" w:rsidP="005B0625">
            <w:pPr>
              <w:jc w:val="right"/>
              <w:rPr>
                <w:rFonts w:ascii="Verdana" w:hAnsi="Verdana"/>
                <w:sz w:val="20"/>
                <w:szCs w:val="20"/>
              </w:rPr>
            </w:pPr>
            <w:r>
              <w:rPr>
                <w:rFonts w:ascii="Verdana" w:hAnsi="Verdana"/>
                <w:sz w:val="20"/>
                <w:szCs w:val="20"/>
              </w:rPr>
              <w:t>2,085,013</w:t>
            </w:r>
            <w:r w:rsidR="00F00701" w:rsidRPr="00042F16">
              <w:rPr>
                <w:rFonts w:ascii="Verdana" w:hAnsi="Verdana"/>
                <w:sz w:val="20"/>
                <w:szCs w:val="20"/>
              </w:rPr>
              <w:t xml:space="preserve"> </w:t>
            </w:r>
          </w:p>
        </w:tc>
        <w:tc>
          <w:tcPr>
            <w:tcW w:w="2693" w:type="dxa"/>
            <w:vAlign w:val="center"/>
          </w:tcPr>
          <w:p w14:paraId="3B21A7E9" w14:textId="3DE8F6FA" w:rsidR="00F00701" w:rsidRPr="00042F16" w:rsidRDefault="00FD71FB" w:rsidP="005B0625">
            <w:pPr>
              <w:jc w:val="right"/>
              <w:rPr>
                <w:rFonts w:ascii="Verdana" w:hAnsi="Verdana"/>
                <w:sz w:val="20"/>
                <w:szCs w:val="20"/>
              </w:rPr>
            </w:pPr>
            <w:r>
              <w:rPr>
                <w:rFonts w:ascii="Verdana" w:hAnsi="Verdana"/>
                <w:sz w:val="20"/>
                <w:szCs w:val="20"/>
              </w:rPr>
              <w:t>166,801</w:t>
            </w:r>
          </w:p>
        </w:tc>
      </w:tr>
      <w:tr w:rsidR="00F00701" w:rsidRPr="00042F16" w14:paraId="0851DD7B" w14:textId="77777777" w:rsidTr="00F00701">
        <w:tc>
          <w:tcPr>
            <w:tcW w:w="3964" w:type="dxa"/>
          </w:tcPr>
          <w:p w14:paraId="7006C833" w14:textId="715EB82F" w:rsidR="00F00701" w:rsidRPr="00042F16" w:rsidRDefault="00F00701" w:rsidP="005B0625">
            <w:pPr>
              <w:rPr>
                <w:rFonts w:ascii="Verdana" w:hAnsi="Verdana"/>
                <w:sz w:val="20"/>
                <w:szCs w:val="20"/>
              </w:rPr>
            </w:pPr>
            <w:r w:rsidRPr="00042F16">
              <w:rPr>
                <w:rFonts w:ascii="Verdana" w:hAnsi="Verdana"/>
                <w:sz w:val="20"/>
                <w:szCs w:val="20"/>
              </w:rPr>
              <w:t>Commodity risk</w:t>
            </w:r>
          </w:p>
        </w:tc>
        <w:tc>
          <w:tcPr>
            <w:tcW w:w="2693" w:type="dxa"/>
          </w:tcPr>
          <w:p w14:paraId="4F3B4D7A" w14:textId="1CFA606B" w:rsidR="00F00701" w:rsidRPr="00042F16" w:rsidRDefault="00F00701" w:rsidP="005B0625">
            <w:pPr>
              <w:jc w:val="right"/>
              <w:rPr>
                <w:rFonts w:ascii="Verdana" w:hAnsi="Verdana"/>
                <w:sz w:val="20"/>
                <w:szCs w:val="20"/>
              </w:rPr>
            </w:pPr>
            <w:r w:rsidRPr="00042F16">
              <w:rPr>
                <w:rFonts w:ascii="Verdana" w:hAnsi="Verdana"/>
                <w:sz w:val="20"/>
                <w:szCs w:val="20"/>
              </w:rPr>
              <w:t>0</w:t>
            </w:r>
          </w:p>
        </w:tc>
        <w:tc>
          <w:tcPr>
            <w:tcW w:w="2693" w:type="dxa"/>
          </w:tcPr>
          <w:p w14:paraId="31183263" w14:textId="0EA89AB0" w:rsidR="00F00701" w:rsidRPr="00042F16" w:rsidRDefault="00F00701" w:rsidP="005B0625">
            <w:pPr>
              <w:jc w:val="right"/>
              <w:rPr>
                <w:rFonts w:ascii="Verdana" w:hAnsi="Verdana"/>
                <w:sz w:val="20"/>
                <w:szCs w:val="20"/>
              </w:rPr>
            </w:pPr>
            <w:r w:rsidRPr="00042F16">
              <w:rPr>
                <w:rFonts w:ascii="Verdana" w:hAnsi="Verdana"/>
                <w:sz w:val="20"/>
                <w:szCs w:val="20"/>
              </w:rPr>
              <w:t>0</w:t>
            </w:r>
          </w:p>
        </w:tc>
      </w:tr>
      <w:tr w:rsidR="00F00701" w:rsidRPr="00042F16" w14:paraId="54937D5D" w14:textId="77777777" w:rsidTr="00650143">
        <w:tc>
          <w:tcPr>
            <w:tcW w:w="3964" w:type="dxa"/>
            <w:shd w:val="clear" w:color="auto" w:fill="auto"/>
          </w:tcPr>
          <w:p w14:paraId="069CB98F" w14:textId="61C85BF7" w:rsidR="00F00701" w:rsidRPr="00042F16" w:rsidRDefault="00F00701" w:rsidP="005B0625">
            <w:pPr>
              <w:jc w:val="left"/>
              <w:rPr>
                <w:rFonts w:ascii="Verdana" w:hAnsi="Verdana"/>
                <w:b/>
                <w:sz w:val="20"/>
                <w:szCs w:val="20"/>
              </w:rPr>
            </w:pPr>
            <w:r w:rsidRPr="00042F16">
              <w:rPr>
                <w:rFonts w:ascii="Verdana" w:hAnsi="Verdana"/>
                <w:b/>
                <w:sz w:val="20"/>
                <w:szCs w:val="20"/>
              </w:rPr>
              <w:t>Total</w:t>
            </w:r>
          </w:p>
        </w:tc>
        <w:tc>
          <w:tcPr>
            <w:tcW w:w="2693" w:type="dxa"/>
            <w:shd w:val="clear" w:color="auto" w:fill="auto"/>
          </w:tcPr>
          <w:p w14:paraId="45875BF8" w14:textId="3A77645C" w:rsidR="00F00701" w:rsidRPr="00042F16" w:rsidRDefault="00FD71FB" w:rsidP="005B0625">
            <w:pPr>
              <w:jc w:val="right"/>
              <w:rPr>
                <w:rFonts w:ascii="Verdana" w:hAnsi="Verdana"/>
                <w:b/>
                <w:sz w:val="20"/>
                <w:szCs w:val="20"/>
              </w:rPr>
            </w:pPr>
            <w:r>
              <w:rPr>
                <w:rFonts w:ascii="Verdana" w:hAnsi="Verdana"/>
                <w:b/>
                <w:sz w:val="20"/>
                <w:szCs w:val="20"/>
              </w:rPr>
              <w:t>2,085,013</w:t>
            </w:r>
            <w:r w:rsidR="00F00701" w:rsidRPr="00042F16">
              <w:rPr>
                <w:rFonts w:ascii="Verdana" w:hAnsi="Verdana"/>
                <w:b/>
                <w:sz w:val="20"/>
                <w:szCs w:val="20"/>
              </w:rPr>
              <w:t xml:space="preserve"> </w:t>
            </w:r>
          </w:p>
        </w:tc>
        <w:tc>
          <w:tcPr>
            <w:tcW w:w="2693" w:type="dxa"/>
            <w:shd w:val="clear" w:color="auto" w:fill="auto"/>
            <w:vAlign w:val="center"/>
          </w:tcPr>
          <w:p w14:paraId="74E01BB2" w14:textId="4196376D" w:rsidR="00F00701" w:rsidRPr="00042F16" w:rsidRDefault="00FD71FB" w:rsidP="005B0625">
            <w:pPr>
              <w:jc w:val="right"/>
              <w:rPr>
                <w:rFonts w:ascii="Verdana" w:hAnsi="Verdana"/>
                <w:b/>
                <w:sz w:val="20"/>
                <w:szCs w:val="20"/>
              </w:rPr>
            </w:pPr>
            <w:r>
              <w:rPr>
                <w:rFonts w:ascii="Verdana" w:hAnsi="Verdana"/>
                <w:b/>
                <w:sz w:val="20"/>
                <w:szCs w:val="20"/>
              </w:rPr>
              <w:t>166,801</w:t>
            </w:r>
          </w:p>
        </w:tc>
      </w:tr>
    </w:tbl>
    <w:p w14:paraId="7EC77F9A" w14:textId="77777777" w:rsidR="0045405F" w:rsidRPr="00042F16" w:rsidRDefault="0045405F" w:rsidP="005B0625">
      <w:pPr>
        <w:spacing w:after="0" w:line="240" w:lineRule="auto"/>
        <w:rPr>
          <w:rFonts w:ascii="Verdana" w:hAnsi="Verdana"/>
          <w:sz w:val="20"/>
          <w:szCs w:val="20"/>
        </w:rPr>
      </w:pPr>
    </w:p>
    <w:p w14:paraId="4D4C2EC5" w14:textId="34A76225" w:rsidR="00332E2A" w:rsidRPr="005B0625" w:rsidRDefault="00332E2A" w:rsidP="005B0625">
      <w:pPr>
        <w:pStyle w:val="Heading2"/>
        <w:spacing w:before="0" w:line="240" w:lineRule="auto"/>
        <w:ind w:left="567" w:hanging="567"/>
        <w:rPr>
          <w:rFonts w:ascii="Verdana" w:hAnsi="Verdana"/>
          <w:b/>
          <w:color w:val="6CACE4"/>
          <w:sz w:val="22"/>
          <w:szCs w:val="22"/>
        </w:rPr>
      </w:pPr>
      <w:bookmarkStart w:id="71" w:name="_Toc22716601"/>
      <w:r w:rsidRPr="005B0625">
        <w:rPr>
          <w:rFonts w:ascii="Verdana" w:hAnsi="Verdana"/>
          <w:b/>
          <w:color w:val="6CACE4"/>
          <w:sz w:val="22"/>
          <w:szCs w:val="22"/>
        </w:rPr>
        <w:t xml:space="preserve">Operational risk </w:t>
      </w:r>
      <w:r w:rsidR="001E5B81" w:rsidRPr="005B0625">
        <w:rPr>
          <w:rFonts w:ascii="Verdana" w:hAnsi="Verdana"/>
          <w:b/>
          <w:color w:val="6CACE4"/>
          <w:sz w:val="22"/>
          <w:szCs w:val="22"/>
        </w:rPr>
        <w:t>(Article 446 CRR)</w:t>
      </w:r>
      <w:bookmarkEnd w:id="71"/>
    </w:p>
    <w:p w14:paraId="36AEE2BA" w14:textId="77777777" w:rsidR="005B0625" w:rsidRPr="005B0625" w:rsidRDefault="005B0625" w:rsidP="005B0625">
      <w:pPr>
        <w:spacing w:after="0" w:line="240" w:lineRule="auto"/>
      </w:pPr>
    </w:p>
    <w:p w14:paraId="7319AA13" w14:textId="15E1C45B" w:rsidR="00332E2A" w:rsidRPr="00042F16" w:rsidRDefault="00332E2A" w:rsidP="005B0625">
      <w:pPr>
        <w:spacing w:after="0" w:line="240" w:lineRule="auto"/>
        <w:rPr>
          <w:rFonts w:ascii="Verdana" w:hAnsi="Verdana"/>
          <w:sz w:val="20"/>
          <w:szCs w:val="20"/>
        </w:rPr>
      </w:pPr>
      <w:r w:rsidRPr="00042F16">
        <w:rPr>
          <w:rFonts w:ascii="Verdana" w:hAnsi="Verdana"/>
          <w:sz w:val="20"/>
          <w:szCs w:val="20"/>
        </w:rPr>
        <w:t>Operational risk is the risk of direct or indirect loss arising from a wide variety of</w:t>
      </w:r>
      <w:r w:rsidR="001C403F" w:rsidRPr="00042F16">
        <w:rPr>
          <w:rFonts w:ascii="Verdana" w:hAnsi="Verdana"/>
          <w:sz w:val="20"/>
          <w:szCs w:val="20"/>
        </w:rPr>
        <w:t xml:space="preserve"> causes associated with the financial institution</w:t>
      </w:r>
      <w:r w:rsidRPr="00042F16">
        <w:rPr>
          <w:rFonts w:ascii="Verdana" w:hAnsi="Verdana"/>
          <w:sz w:val="20"/>
          <w:szCs w:val="20"/>
        </w:rPr>
        <w:t xml:space="preserve">’s processes, personnel, technology and infrastructure, and from external factors other than credit, market and liquidity risks such as those arising from legal and regulatory requirements and generally accepted standards of corporate behaviour. Operational </w:t>
      </w:r>
      <w:r w:rsidR="001C403F" w:rsidRPr="00042F16">
        <w:rPr>
          <w:rFonts w:ascii="Verdana" w:hAnsi="Verdana"/>
          <w:sz w:val="20"/>
          <w:szCs w:val="20"/>
        </w:rPr>
        <w:t>risks arise from all of the financial institution</w:t>
      </w:r>
      <w:r w:rsidRPr="00042F16">
        <w:rPr>
          <w:rFonts w:ascii="Verdana" w:hAnsi="Verdana"/>
          <w:sz w:val="20"/>
          <w:szCs w:val="20"/>
        </w:rPr>
        <w:t>’s operations.</w:t>
      </w:r>
      <w:r w:rsidR="007D589D" w:rsidRPr="00042F16">
        <w:rPr>
          <w:rFonts w:ascii="Verdana" w:hAnsi="Verdana"/>
          <w:sz w:val="20"/>
          <w:szCs w:val="20"/>
        </w:rPr>
        <w:t xml:space="preserve"> </w:t>
      </w:r>
      <w:r w:rsidR="00957371" w:rsidRPr="00042F16">
        <w:rPr>
          <w:rFonts w:ascii="Verdana" w:hAnsi="Verdana"/>
          <w:sz w:val="20"/>
          <w:szCs w:val="20"/>
        </w:rPr>
        <w:t>The Company</w:t>
      </w:r>
      <w:r w:rsidR="004240BF" w:rsidRPr="00042F16">
        <w:rPr>
          <w:rFonts w:ascii="Verdana" w:hAnsi="Verdana"/>
          <w:sz w:val="20"/>
          <w:szCs w:val="20"/>
        </w:rPr>
        <w:t xml:space="preserve"> applies the basic indicator approach in order to compute</w:t>
      </w:r>
      <w:r w:rsidR="008D736E" w:rsidRPr="00042F16">
        <w:rPr>
          <w:rFonts w:ascii="Verdana" w:hAnsi="Verdana"/>
          <w:sz w:val="20"/>
          <w:szCs w:val="20"/>
        </w:rPr>
        <w:t xml:space="preserve"> their capital requirement for the operational risk (refer to article 312 of the CRR).</w:t>
      </w:r>
    </w:p>
    <w:p w14:paraId="367F6E31" w14:textId="77777777" w:rsidR="005B0625" w:rsidRDefault="005B0625" w:rsidP="005B0625">
      <w:pPr>
        <w:spacing w:after="0" w:line="240" w:lineRule="auto"/>
        <w:rPr>
          <w:rFonts w:ascii="Verdana" w:hAnsi="Verdana"/>
          <w:sz w:val="20"/>
          <w:szCs w:val="20"/>
        </w:rPr>
      </w:pPr>
    </w:p>
    <w:p w14:paraId="2D416CE2" w14:textId="554829D9" w:rsidR="00332E2A" w:rsidRPr="00042F16" w:rsidRDefault="00940231" w:rsidP="005B0625">
      <w:pPr>
        <w:spacing w:after="0" w:line="240" w:lineRule="auto"/>
        <w:rPr>
          <w:rFonts w:ascii="Verdana" w:hAnsi="Verdana"/>
          <w:sz w:val="20"/>
          <w:szCs w:val="20"/>
        </w:rPr>
      </w:pPr>
      <w:r w:rsidRPr="00042F16">
        <w:rPr>
          <w:rFonts w:ascii="Verdana" w:hAnsi="Verdana"/>
          <w:sz w:val="20"/>
          <w:szCs w:val="20"/>
        </w:rPr>
        <w:t>Many mitigating measures</w:t>
      </w:r>
      <w:r w:rsidR="005F0BAD" w:rsidRPr="00042F16">
        <w:rPr>
          <w:rFonts w:ascii="Verdana" w:hAnsi="Verdana"/>
          <w:sz w:val="20"/>
          <w:szCs w:val="20"/>
        </w:rPr>
        <w:t xml:space="preserve"> and actions are covered by </w:t>
      </w:r>
      <w:r w:rsidR="00DF0FC6" w:rsidRPr="00042F16">
        <w:rPr>
          <w:rFonts w:ascii="Verdana" w:hAnsi="Verdana"/>
          <w:sz w:val="20"/>
          <w:szCs w:val="20"/>
        </w:rPr>
        <w:t>t</w:t>
      </w:r>
      <w:r w:rsidR="00957371" w:rsidRPr="00042F16">
        <w:rPr>
          <w:rFonts w:ascii="Verdana" w:hAnsi="Verdana"/>
          <w:sz w:val="20"/>
          <w:szCs w:val="20"/>
        </w:rPr>
        <w:t>he Company</w:t>
      </w:r>
      <w:r w:rsidR="005F0BAD" w:rsidRPr="00042F16">
        <w:rPr>
          <w:rFonts w:ascii="Verdana" w:hAnsi="Verdana"/>
          <w:sz w:val="20"/>
          <w:szCs w:val="20"/>
        </w:rPr>
        <w:t xml:space="preserve"> such as:</w:t>
      </w:r>
    </w:p>
    <w:p w14:paraId="46524EA6" w14:textId="5F20FEE9" w:rsidR="001C403F" w:rsidRPr="00042F16" w:rsidRDefault="001E5B81"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Frequent review of</w:t>
      </w:r>
      <w:r w:rsidR="001C403F" w:rsidRPr="00042F16">
        <w:rPr>
          <w:rFonts w:ascii="Verdana" w:hAnsi="Verdana"/>
          <w:sz w:val="20"/>
          <w:szCs w:val="20"/>
        </w:rPr>
        <w:t xml:space="preserve"> manual of procedures</w:t>
      </w:r>
      <w:r w:rsidRPr="00042F16">
        <w:rPr>
          <w:rFonts w:ascii="Verdana" w:hAnsi="Verdana"/>
          <w:sz w:val="20"/>
          <w:szCs w:val="20"/>
        </w:rPr>
        <w:t>;</w:t>
      </w:r>
    </w:p>
    <w:p w14:paraId="3CE8D501" w14:textId="1F353108"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Structur</w:t>
      </w:r>
      <w:r w:rsidR="005F0BAD" w:rsidRPr="00042F16">
        <w:rPr>
          <w:rFonts w:ascii="Verdana" w:hAnsi="Verdana"/>
          <w:sz w:val="20"/>
          <w:szCs w:val="20"/>
        </w:rPr>
        <w:t>ed organisation based on organis</w:t>
      </w:r>
      <w:r w:rsidRPr="00042F16">
        <w:rPr>
          <w:rFonts w:ascii="Verdana" w:hAnsi="Verdana"/>
          <w:sz w:val="20"/>
          <w:szCs w:val="20"/>
        </w:rPr>
        <w:t>ation charts, job descriptions and recognized control principles like</w:t>
      </w:r>
      <w:r w:rsidR="001E5B81" w:rsidRPr="00042F16">
        <w:rPr>
          <w:rFonts w:ascii="Verdana" w:hAnsi="Verdana"/>
          <w:sz w:val="20"/>
          <w:szCs w:val="20"/>
        </w:rPr>
        <w:t xml:space="preserve"> </w:t>
      </w:r>
      <w:r w:rsidR="009552B1" w:rsidRPr="00042F16">
        <w:rPr>
          <w:rFonts w:ascii="Verdana" w:hAnsi="Verdana"/>
          <w:sz w:val="20"/>
          <w:szCs w:val="20"/>
        </w:rPr>
        <w:t>s</w:t>
      </w:r>
      <w:r w:rsidR="005F0BAD" w:rsidRPr="00042F16">
        <w:rPr>
          <w:rFonts w:ascii="Verdana" w:hAnsi="Verdana"/>
          <w:sz w:val="20"/>
          <w:szCs w:val="20"/>
        </w:rPr>
        <w:t>egregation</w:t>
      </w:r>
      <w:r w:rsidRPr="00042F16">
        <w:rPr>
          <w:rFonts w:ascii="Verdana" w:hAnsi="Verdana"/>
          <w:sz w:val="20"/>
          <w:szCs w:val="20"/>
        </w:rPr>
        <w:t xml:space="preserve"> of duties,</w:t>
      </w:r>
      <w:r w:rsidR="001E5B81" w:rsidRPr="00042F16">
        <w:rPr>
          <w:rFonts w:ascii="Verdana" w:hAnsi="Verdana"/>
          <w:sz w:val="20"/>
          <w:szCs w:val="20"/>
        </w:rPr>
        <w:t xml:space="preserve"> </w:t>
      </w:r>
      <w:r w:rsidRPr="00042F16">
        <w:rPr>
          <w:rFonts w:ascii="Verdana" w:hAnsi="Verdana"/>
          <w:sz w:val="20"/>
          <w:szCs w:val="20"/>
        </w:rPr>
        <w:t>four eyes principle and tasks backup</w:t>
      </w:r>
      <w:r w:rsidR="001E5B81" w:rsidRPr="00042F16">
        <w:rPr>
          <w:rFonts w:ascii="Verdana" w:hAnsi="Verdana"/>
          <w:sz w:val="20"/>
          <w:szCs w:val="20"/>
        </w:rPr>
        <w:t>;</w:t>
      </w:r>
    </w:p>
    <w:p w14:paraId="4B404F98" w14:textId="23646595"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Staff experience</w:t>
      </w:r>
      <w:r w:rsidR="001E5B81" w:rsidRPr="00042F16">
        <w:rPr>
          <w:rFonts w:ascii="Verdana" w:hAnsi="Verdana"/>
          <w:sz w:val="20"/>
          <w:szCs w:val="20"/>
        </w:rPr>
        <w:t>;</w:t>
      </w:r>
    </w:p>
    <w:p w14:paraId="7D3A57F3" w14:textId="5D99BA40"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Protected and restricted access offices, safes, sensitive premises</w:t>
      </w:r>
      <w:r w:rsidR="001E5B81" w:rsidRPr="00042F16">
        <w:rPr>
          <w:rFonts w:ascii="Verdana" w:hAnsi="Verdana"/>
          <w:sz w:val="20"/>
          <w:szCs w:val="20"/>
        </w:rPr>
        <w:t>;</w:t>
      </w:r>
    </w:p>
    <w:p w14:paraId="424D0E65" w14:textId="6D8B2122"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lastRenderedPageBreak/>
        <w:t>Mirroring backup system of all systems and data. Disaster Recovery Plan yearly tested</w:t>
      </w:r>
      <w:r w:rsidR="001E5B81" w:rsidRPr="00042F16">
        <w:rPr>
          <w:rFonts w:ascii="Verdana" w:hAnsi="Verdana"/>
          <w:sz w:val="20"/>
          <w:szCs w:val="20"/>
        </w:rPr>
        <w:t>;</w:t>
      </w:r>
    </w:p>
    <w:p w14:paraId="212E221E" w14:textId="0D83072C"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 xml:space="preserve">Detailed Business Continuity Plan yearly tested. Strategy with a recovery site for </w:t>
      </w:r>
      <w:proofErr w:type="spellStart"/>
      <w:r w:rsidRPr="00042F16">
        <w:rPr>
          <w:rFonts w:ascii="Verdana" w:hAnsi="Verdana"/>
          <w:sz w:val="20"/>
          <w:szCs w:val="20"/>
        </w:rPr>
        <w:t>Leudelange</w:t>
      </w:r>
      <w:proofErr w:type="spellEnd"/>
      <w:r w:rsidR="001E5B81" w:rsidRPr="00042F16">
        <w:rPr>
          <w:rFonts w:ascii="Verdana" w:hAnsi="Verdana"/>
          <w:sz w:val="20"/>
          <w:szCs w:val="20"/>
        </w:rPr>
        <w:t>;</w:t>
      </w:r>
      <w:r w:rsidRPr="00042F16">
        <w:rPr>
          <w:rFonts w:ascii="Verdana" w:hAnsi="Verdana"/>
          <w:sz w:val="20"/>
          <w:szCs w:val="20"/>
        </w:rPr>
        <w:t xml:space="preserve"> </w:t>
      </w:r>
    </w:p>
    <w:p w14:paraId="01DFA22F" w14:textId="76B6D329"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Integratio</w:t>
      </w:r>
      <w:r w:rsidR="002241F8" w:rsidRPr="00042F16">
        <w:rPr>
          <w:rFonts w:ascii="Verdana" w:hAnsi="Verdana"/>
          <w:sz w:val="20"/>
          <w:szCs w:val="20"/>
        </w:rPr>
        <w:t>n of the cyber risks in the Business Continuity Plan (BCP)</w:t>
      </w:r>
      <w:r w:rsidR="001E5B81" w:rsidRPr="00042F16">
        <w:rPr>
          <w:rFonts w:ascii="Verdana" w:hAnsi="Verdana"/>
          <w:sz w:val="20"/>
          <w:szCs w:val="20"/>
        </w:rPr>
        <w:t>;</w:t>
      </w:r>
    </w:p>
    <w:p w14:paraId="7B5D8AE9" w14:textId="5ECFC43A"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Quarterly key performance indicator (KPI) implemented to supervise the operational activities of the company</w:t>
      </w:r>
      <w:r w:rsidR="001E5B81" w:rsidRPr="00042F16">
        <w:rPr>
          <w:rFonts w:ascii="Verdana" w:hAnsi="Verdana"/>
          <w:sz w:val="20"/>
          <w:szCs w:val="20"/>
        </w:rPr>
        <w:t>;</w:t>
      </w:r>
    </w:p>
    <w:p w14:paraId="75BFE1CF" w14:textId="63A7DA7B" w:rsidR="00332E2A"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Incidents Database identifying main operational risks</w:t>
      </w:r>
      <w:r w:rsidR="001E5B81" w:rsidRPr="00042F16">
        <w:rPr>
          <w:rFonts w:ascii="Verdana" w:hAnsi="Verdana"/>
          <w:sz w:val="20"/>
          <w:szCs w:val="20"/>
        </w:rPr>
        <w:t>; etc.</w:t>
      </w:r>
    </w:p>
    <w:p w14:paraId="51B32312" w14:textId="77777777" w:rsidR="005B0625" w:rsidRDefault="005B0625" w:rsidP="005B0625">
      <w:pPr>
        <w:spacing w:after="0" w:line="240" w:lineRule="auto"/>
        <w:rPr>
          <w:rFonts w:ascii="Verdana" w:hAnsi="Verdana"/>
          <w:sz w:val="20"/>
          <w:szCs w:val="20"/>
        </w:rPr>
      </w:pPr>
    </w:p>
    <w:p w14:paraId="0A979E39" w14:textId="0223813C" w:rsidR="001C403F" w:rsidRPr="00042F16" w:rsidRDefault="001C403F" w:rsidP="005B0625">
      <w:pPr>
        <w:spacing w:after="0" w:line="240" w:lineRule="auto"/>
        <w:rPr>
          <w:rFonts w:ascii="Verdana" w:hAnsi="Verdana"/>
          <w:sz w:val="20"/>
          <w:szCs w:val="20"/>
        </w:rPr>
      </w:pPr>
      <w:r w:rsidRPr="00042F16">
        <w:rPr>
          <w:rFonts w:ascii="Verdana" w:hAnsi="Verdana"/>
          <w:sz w:val="20"/>
          <w:szCs w:val="20"/>
        </w:rPr>
        <w:t xml:space="preserve">The risk management </w:t>
      </w:r>
      <w:r w:rsidR="005F0BAD" w:rsidRPr="00042F16">
        <w:rPr>
          <w:rFonts w:ascii="Verdana" w:hAnsi="Verdana"/>
          <w:sz w:val="20"/>
          <w:szCs w:val="20"/>
        </w:rPr>
        <w:t>department</w:t>
      </w:r>
      <w:r w:rsidRPr="00042F16">
        <w:rPr>
          <w:rFonts w:ascii="Verdana" w:hAnsi="Verdana"/>
          <w:sz w:val="20"/>
          <w:szCs w:val="20"/>
        </w:rPr>
        <w:t xml:space="preserve"> decided to consider several criteria to estimate the operational risks internal capital requirements:</w:t>
      </w:r>
    </w:p>
    <w:p w14:paraId="759D9E43" w14:textId="397592BA" w:rsidR="001C403F" w:rsidRPr="00042F16" w:rsidRDefault="001C403F"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 xml:space="preserve">IT department: availability system, cyber risk, P&amp;L charges </w:t>
      </w:r>
    </w:p>
    <w:p w14:paraId="767D2E36" w14:textId="6E8AAE94" w:rsidR="001C403F" w:rsidRPr="00042F16" w:rsidRDefault="002241F8" w:rsidP="005B0625">
      <w:pPr>
        <w:pStyle w:val="ListParagraph"/>
        <w:numPr>
          <w:ilvl w:val="0"/>
          <w:numId w:val="16"/>
        </w:numPr>
        <w:spacing w:after="0" w:line="240" w:lineRule="auto"/>
        <w:rPr>
          <w:rFonts w:ascii="Verdana" w:hAnsi="Verdana"/>
          <w:sz w:val="20"/>
          <w:szCs w:val="20"/>
        </w:rPr>
      </w:pPr>
      <w:r w:rsidRPr="00042F16">
        <w:rPr>
          <w:rFonts w:ascii="Verdana" w:hAnsi="Verdana"/>
          <w:sz w:val="20"/>
          <w:szCs w:val="20"/>
        </w:rPr>
        <w:t xml:space="preserve">Human resources: turnover, </w:t>
      </w:r>
      <w:r w:rsidR="001C403F" w:rsidRPr="00042F16">
        <w:rPr>
          <w:rFonts w:ascii="Verdana" w:hAnsi="Verdana"/>
          <w:sz w:val="20"/>
          <w:szCs w:val="20"/>
        </w:rPr>
        <w:t xml:space="preserve">incidents </w:t>
      </w:r>
      <w:r w:rsidR="005F0BAD" w:rsidRPr="00042F16">
        <w:rPr>
          <w:rFonts w:ascii="Verdana" w:hAnsi="Verdana"/>
          <w:sz w:val="20"/>
          <w:szCs w:val="20"/>
        </w:rPr>
        <w:t>database</w:t>
      </w:r>
      <w:r w:rsidRPr="00042F16">
        <w:rPr>
          <w:rFonts w:ascii="Verdana" w:hAnsi="Verdana"/>
          <w:sz w:val="20"/>
          <w:szCs w:val="20"/>
        </w:rPr>
        <w:t xml:space="preserve"> (working time loss), </w:t>
      </w:r>
      <w:r w:rsidR="0028130A" w:rsidRPr="00042F16">
        <w:rPr>
          <w:rFonts w:ascii="Verdana" w:hAnsi="Verdana"/>
          <w:sz w:val="20"/>
          <w:szCs w:val="20"/>
        </w:rPr>
        <w:t>o</w:t>
      </w:r>
      <w:r w:rsidRPr="00042F16">
        <w:rPr>
          <w:rFonts w:ascii="Verdana" w:hAnsi="Verdana"/>
          <w:sz w:val="20"/>
          <w:szCs w:val="20"/>
        </w:rPr>
        <w:t>rganis</w:t>
      </w:r>
      <w:r w:rsidR="001C403F" w:rsidRPr="00042F16">
        <w:rPr>
          <w:rFonts w:ascii="Verdana" w:hAnsi="Verdana"/>
          <w:sz w:val="20"/>
          <w:szCs w:val="20"/>
        </w:rPr>
        <w:t>ation</w:t>
      </w:r>
      <w:r w:rsidR="0028130A" w:rsidRPr="00042F16">
        <w:rPr>
          <w:rFonts w:ascii="Verdana" w:hAnsi="Verdana"/>
          <w:sz w:val="20"/>
          <w:szCs w:val="20"/>
        </w:rPr>
        <w:t xml:space="preserve"> operational losses r</w:t>
      </w:r>
      <w:r w:rsidR="001C403F" w:rsidRPr="00042F16">
        <w:rPr>
          <w:rFonts w:ascii="Verdana" w:hAnsi="Verdana"/>
          <w:sz w:val="20"/>
          <w:szCs w:val="20"/>
        </w:rPr>
        <w:t>eport</w:t>
      </w:r>
      <w:r w:rsidRPr="00042F16">
        <w:rPr>
          <w:rFonts w:ascii="Verdana" w:hAnsi="Verdana"/>
          <w:sz w:val="20"/>
          <w:szCs w:val="20"/>
        </w:rPr>
        <w:t>,</w:t>
      </w:r>
      <w:r w:rsidR="0028130A" w:rsidRPr="00042F16">
        <w:rPr>
          <w:rFonts w:ascii="Verdana" w:hAnsi="Verdana"/>
          <w:sz w:val="20"/>
          <w:szCs w:val="20"/>
        </w:rPr>
        <w:t xml:space="preserve"> potential loss on r</w:t>
      </w:r>
      <w:r w:rsidRPr="00042F16">
        <w:rPr>
          <w:rFonts w:ascii="Verdana" w:hAnsi="Verdana"/>
          <w:sz w:val="20"/>
          <w:szCs w:val="20"/>
        </w:rPr>
        <w:t>eversals,</w:t>
      </w:r>
      <w:r w:rsidR="001C403F" w:rsidRPr="00042F16">
        <w:rPr>
          <w:rFonts w:ascii="Verdana" w:hAnsi="Verdana"/>
          <w:sz w:val="20"/>
          <w:szCs w:val="20"/>
        </w:rPr>
        <w:t xml:space="preserve"> </w:t>
      </w:r>
      <w:r w:rsidRPr="00042F16">
        <w:rPr>
          <w:rFonts w:ascii="Verdana" w:hAnsi="Verdana"/>
          <w:sz w:val="20"/>
          <w:szCs w:val="20"/>
        </w:rPr>
        <w:t>p</w:t>
      </w:r>
      <w:r w:rsidR="0028130A" w:rsidRPr="00042F16">
        <w:rPr>
          <w:rFonts w:ascii="Verdana" w:hAnsi="Verdana"/>
          <w:sz w:val="20"/>
          <w:szCs w:val="20"/>
        </w:rPr>
        <w:t>rice differences, client r</w:t>
      </w:r>
      <w:r w:rsidR="001C403F" w:rsidRPr="00042F16">
        <w:rPr>
          <w:rFonts w:ascii="Verdana" w:hAnsi="Verdana"/>
          <w:sz w:val="20"/>
          <w:szCs w:val="20"/>
        </w:rPr>
        <w:t>eimbursement</w:t>
      </w:r>
      <w:r w:rsidR="0028130A" w:rsidRPr="00042F16">
        <w:rPr>
          <w:rFonts w:ascii="Verdana" w:hAnsi="Verdana"/>
          <w:sz w:val="20"/>
          <w:szCs w:val="20"/>
        </w:rPr>
        <w:t>s</w:t>
      </w:r>
      <w:r w:rsidR="001C403F" w:rsidRPr="00042F16">
        <w:rPr>
          <w:rFonts w:ascii="Verdana" w:hAnsi="Verdana"/>
          <w:sz w:val="20"/>
          <w:szCs w:val="20"/>
        </w:rPr>
        <w:t>.</w:t>
      </w:r>
    </w:p>
    <w:p w14:paraId="60553823" w14:textId="77777777" w:rsidR="005B0625" w:rsidRDefault="005B0625" w:rsidP="005B0625">
      <w:pPr>
        <w:spacing w:after="0" w:line="240" w:lineRule="auto"/>
        <w:rPr>
          <w:rFonts w:ascii="Verdana" w:hAnsi="Verdana"/>
          <w:sz w:val="20"/>
          <w:szCs w:val="20"/>
        </w:rPr>
      </w:pPr>
    </w:p>
    <w:p w14:paraId="1F55B1A8" w14:textId="1056B937" w:rsidR="007133BD" w:rsidRPr="00042F16" w:rsidRDefault="001C403F" w:rsidP="005B0625">
      <w:pPr>
        <w:spacing w:after="0" w:line="240" w:lineRule="auto"/>
        <w:rPr>
          <w:rFonts w:ascii="Verdana" w:hAnsi="Verdana"/>
          <w:sz w:val="20"/>
          <w:szCs w:val="20"/>
        </w:rPr>
      </w:pPr>
      <w:r w:rsidRPr="00042F16">
        <w:rPr>
          <w:rFonts w:ascii="Verdana" w:hAnsi="Verdana"/>
          <w:sz w:val="20"/>
          <w:szCs w:val="20"/>
        </w:rPr>
        <w:t xml:space="preserve">Based on total operational errors, total operational risk on IT System and total human resources, </w:t>
      </w:r>
      <w:r w:rsidR="00957371" w:rsidRPr="00042F16">
        <w:rPr>
          <w:rFonts w:ascii="Verdana" w:hAnsi="Verdana"/>
          <w:sz w:val="20"/>
          <w:szCs w:val="20"/>
        </w:rPr>
        <w:t>The Company</w:t>
      </w:r>
      <w:r w:rsidRPr="00042F16">
        <w:rPr>
          <w:rFonts w:ascii="Verdana" w:hAnsi="Verdana"/>
          <w:sz w:val="20"/>
          <w:szCs w:val="20"/>
        </w:rPr>
        <w:t xml:space="preserve"> applied a rate of 50% of the total amount and applied an internal capi</w:t>
      </w:r>
      <w:r w:rsidR="00F32FB5" w:rsidRPr="00042F16">
        <w:rPr>
          <w:rFonts w:ascii="Verdana" w:hAnsi="Verdana"/>
          <w:sz w:val="20"/>
          <w:szCs w:val="20"/>
        </w:rPr>
        <w:t>tal requi</w:t>
      </w:r>
      <w:r w:rsidR="00FD71FB">
        <w:rPr>
          <w:rFonts w:ascii="Verdana" w:hAnsi="Verdana"/>
          <w:sz w:val="20"/>
          <w:szCs w:val="20"/>
        </w:rPr>
        <w:t>rement of 260</w:t>
      </w:r>
      <w:r w:rsidR="00F32FB5" w:rsidRPr="00042F16">
        <w:rPr>
          <w:rFonts w:ascii="Verdana" w:hAnsi="Verdana"/>
          <w:sz w:val="20"/>
          <w:szCs w:val="20"/>
        </w:rPr>
        <w:t>.000 EUR.</w:t>
      </w:r>
    </w:p>
    <w:p w14:paraId="774CBE52" w14:textId="77777777" w:rsidR="0045405F" w:rsidRPr="00042F16" w:rsidRDefault="0045405F" w:rsidP="005B0625">
      <w:pPr>
        <w:spacing w:after="0" w:line="240" w:lineRule="auto"/>
        <w:rPr>
          <w:rFonts w:ascii="Verdana" w:hAnsi="Verdana"/>
          <w:sz w:val="20"/>
          <w:szCs w:val="20"/>
        </w:rPr>
      </w:pPr>
    </w:p>
    <w:p w14:paraId="4369E2B2" w14:textId="0D67F107" w:rsidR="0033756B" w:rsidRPr="005B0625" w:rsidRDefault="0033756B" w:rsidP="005B0625">
      <w:pPr>
        <w:pStyle w:val="Heading2"/>
        <w:spacing w:before="0" w:line="240" w:lineRule="auto"/>
        <w:ind w:left="567" w:hanging="567"/>
        <w:rPr>
          <w:rFonts w:ascii="Verdana" w:hAnsi="Verdana"/>
          <w:b/>
          <w:color w:val="6CACE4"/>
          <w:sz w:val="22"/>
          <w:szCs w:val="22"/>
        </w:rPr>
      </w:pPr>
      <w:bookmarkStart w:id="72" w:name="_Toc22716602"/>
      <w:r w:rsidRPr="005B0625">
        <w:rPr>
          <w:rFonts w:ascii="Verdana" w:hAnsi="Verdana"/>
          <w:b/>
          <w:color w:val="6CACE4"/>
          <w:sz w:val="22"/>
          <w:szCs w:val="22"/>
        </w:rPr>
        <w:t>Interest Rate Risk</w:t>
      </w:r>
      <w:r w:rsidR="001E5B81" w:rsidRPr="005B0625">
        <w:rPr>
          <w:rFonts w:ascii="Verdana" w:hAnsi="Verdana"/>
          <w:b/>
          <w:color w:val="6CACE4"/>
          <w:sz w:val="22"/>
          <w:szCs w:val="22"/>
        </w:rPr>
        <w:t xml:space="preserve"> (Article 448 CRR)</w:t>
      </w:r>
      <w:bookmarkEnd w:id="72"/>
      <w:r w:rsidRPr="005B0625">
        <w:rPr>
          <w:rFonts w:ascii="Verdana" w:hAnsi="Verdana"/>
          <w:b/>
          <w:color w:val="6CACE4"/>
          <w:sz w:val="22"/>
          <w:szCs w:val="22"/>
        </w:rPr>
        <w:t xml:space="preserve"> </w:t>
      </w:r>
    </w:p>
    <w:p w14:paraId="6E3CC76B" w14:textId="77777777" w:rsidR="005B0625" w:rsidRPr="005B0625" w:rsidRDefault="005B0625" w:rsidP="005B0625">
      <w:pPr>
        <w:spacing w:after="0" w:line="240" w:lineRule="auto"/>
      </w:pPr>
    </w:p>
    <w:p w14:paraId="65085E9A" w14:textId="0119C13B" w:rsidR="00FF3AC0" w:rsidRDefault="00452716" w:rsidP="005B0625">
      <w:pPr>
        <w:spacing w:after="0" w:line="240" w:lineRule="auto"/>
        <w:rPr>
          <w:rFonts w:ascii="Verdana" w:hAnsi="Verdana"/>
          <w:sz w:val="20"/>
          <w:szCs w:val="20"/>
        </w:rPr>
      </w:pPr>
      <w:r w:rsidRPr="00042F16">
        <w:rPr>
          <w:rFonts w:ascii="Verdana" w:hAnsi="Verdana"/>
          <w:sz w:val="20"/>
          <w:szCs w:val="20"/>
        </w:rPr>
        <w:t>The Company manages its exposure to interest rate risk in line with CSSF’s recommendations.</w:t>
      </w:r>
      <w:r w:rsidR="00FF3AC0" w:rsidRPr="00042F16">
        <w:rPr>
          <w:rFonts w:ascii="Verdana" w:hAnsi="Verdana"/>
          <w:sz w:val="20"/>
          <w:szCs w:val="20"/>
        </w:rPr>
        <w:t xml:space="preserve"> Indeed, the Company calculates its exposure to interest rate risk following the Circular CSSF CIRCULAR CSSF 08/338 as amended by Circular CSSF 16/642 on the implementation of a stress test in order to assess the interest rate risk arising from non-trading book activities.</w:t>
      </w:r>
    </w:p>
    <w:p w14:paraId="4057854F" w14:textId="77777777" w:rsidR="005B0625" w:rsidRPr="00042F16" w:rsidRDefault="005B0625" w:rsidP="005B0625">
      <w:pPr>
        <w:spacing w:after="0" w:line="240" w:lineRule="auto"/>
        <w:rPr>
          <w:rFonts w:ascii="Verdana" w:hAnsi="Verdana"/>
          <w:sz w:val="20"/>
          <w:szCs w:val="20"/>
        </w:rPr>
      </w:pPr>
    </w:p>
    <w:p w14:paraId="54169A1F" w14:textId="46135872" w:rsidR="00851FCD" w:rsidRPr="005B0625" w:rsidRDefault="00851FCD" w:rsidP="005B0625">
      <w:pPr>
        <w:pStyle w:val="Caption"/>
        <w:spacing w:after="0"/>
        <w:rPr>
          <w:rFonts w:ascii="Verdana" w:hAnsi="Verdana"/>
          <w:color w:val="auto"/>
          <w:sz w:val="20"/>
          <w:szCs w:val="20"/>
        </w:rPr>
      </w:pPr>
      <w:bookmarkStart w:id="73" w:name="_Toc22716635"/>
      <w:r w:rsidRPr="005B0625">
        <w:rPr>
          <w:rFonts w:ascii="Verdana" w:hAnsi="Verdana"/>
          <w:color w:val="auto"/>
          <w:sz w:val="20"/>
          <w:szCs w:val="20"/>
        </w:rPr>
        <w:t xml:space="preserve">Table </w:t>
      </w:r>
      <w:r w:rsidRPr="005B0625">
        <w:rPr>
          <w:rFonts w:ascii="Verdana" w:hAnsi="Verdana"/>
          <w:color w:val="auto"/>
          <w:sz w:val="20"/>
          <w:szCs w:val="20"/>
        </w:rPr>
        <w:fldChar w:fldCharType="begin"/>
      </w:r>
      <w:r w:rsidRPr="005B0625">
        <w:rPr>
          <w:rFonts w:ascii="Verdana" w:hAnsi="Verdana"/>
          <w:color w:val="auto"/>
          <w:sz w:val="20"/>
          <w:szCs w:val="20"/>
        </w:rPr>
        <w:instrText xml:space="preserve"> SEQ Table \* ARABIC </w:instrText>
      </w:r>
      <w:r w:rsidRPr="005B0625">
        <w:rPr>
          <w:rFonts w:ascii="Verdana" w:hAnsi="Verdana"/>
          <w:color w:val="auto"/>
          <w:sz w:val="20"/>
          <w:szCs w:val="20"/>
        </w:rPr>
        <w:fldChar w:fldCharType="separate"/>
      </w:r>
      <w:r w:rsidR="00E7065A" w:rsidRPr="005B0625">
        <w:rPr>
          <w:rFonts w:ascii="Verdana" w:hAnsi="Verdana"/>
          <w:noProof/>
          <w:color w:val="auto"/>
          <w:sz w:val="20"/>
          <w:szCs w:val="20"/>
        </w:rPr>
        <w:t>11</w:t>
      </w:r>
      <w:r w:rsidRPr="005B0625">
        <w:rPr>
          <w:rFonts w:ascii="Verdana" w:hAnsi="Verdana"/>
          <w:color w:val="auto"/>
          <w:sz w:val="20"/>
          <w:szCs w:val="20"/>
        </w:rPr>
        <w:fldChar w:fldCharType="end"/>
      </w:r>
      <w:r w:rsidR="0060275C">
        <w:rPr>
          <w:rFonts w:ascii="Verdana" w:hAnsi="Verdana"/>
          <w:color w:val="auto"/>
          <w:sz w:val="20"/>
          <w:szCs w:val="20"/>
        </w:rPr>
        <w:t xml:space="preserve"> : 31/12/2019</w:t>
      </w:r>
      <w:r w:rsidRPr="005B0625">
        <w:rPr>
          <w:rFonts w:ascii="Verdana" w:hAnsi="Verdana"/>
          <w:color w:val="auto"/>
          <w:sz w:val="20"/>
          <w:szCs w:val="20"/>
        </w:rPr>
        <w:t xml:space="preserve"> IRRBB stress test result</w:t>
      </w:r>
      <w:r w:rsidR="005B7A3F" w:rsidRPr="005B0625">
        <w:rPr>
          <w:rFonts w:ascii="Verdana" w:hAnsi="Verdana"/>
          <w:color w:val="auto"/>
          <w:sz w:val="20"/>
          <w:szCs w:val="20"/>
        </w:rPr>
        <w:t>s</w:t>
      </w:r>
      <w:bookmarkEnd w:id="73"/>
    </w:p>
    <w:tbl>
      <w:tblPr>
        <w:tblStyle w:val="TableGrid"/>
        <w:tblW w:w="0" w:type="auto"/>
        <w:tblLook w:val="04A0" w:firstRow="1" w:lastRow="0" w:firstColumn="1" w:lastColumn="0" w:noHBand="0" w:noVBand="1"/>
      </w:tblPr>
      <w:tblGrid>
        <w:gridCol w:w="3256"/>
        <w:gridCol w:w="3118"/>
        <w:gridCol w:w="2976"/>
      </w:tblGrid>
      <w:tr w:rsidR="00FF3AC0" w:rsidRPr="00042F16" w14:paraId="0D0161EF" w14:textId="77777777" w:rsidTr="007E7755">
        <w:tc>
          <w:tcPr>
            <w:tcW w:w="3256" w:type="dxa"/>
          </w:tcPr>
          <w:p w14:paraId="6BD7ADB1" w14:textId="594B34CC" w:rsidR="00FF3AC0" w:rsidRPr="00042F16" w:rsidRDefault="0060275C" w:rsidP="005B0625">
            <w:pPr>
              <w:rPr>
                <w:rFonts w:ascii="Verdana" w:hAnsi="Verdana"/>
                <w:b/>
                <w:sz w:val="20"/>
                <w:szCs w:val="20"/>
              </w:rPr>
            </w:pPr>
            <w:r>
              <w:rPr>
                <w:rFonts w:ascii="Verdana" w:hAnsi="Verdana"/>
                <w:b/>
                <w:sz w:val="20"/>
                <w:szCs w:val="20"/>
              </w:rPr>
              <w:t>31/12/2019</w:t>
            </w:r>
            <w:r w:rsidR="00FF3AC0" w:rsidRPr="00042F16">
              <w:rPr>
                <w:rFonts w:ascii="Verdana" w:hAnsi="Verdana"/>
                <w:b/>
                <w:sz w:val="20"/>
                <w:szCs w:val="20"/>
              </w:rPr>
              <w:t xml:space="preserve"> stress test results</w:t>
            </w:r>
          </w:p>
        </w:tc>
        <w:tc>
          <w:tcPr>
            <w:tcW w:w="3118" w:type="dxa"/>
          </w:tcPr>
          <w:p w14:paraId="4C2F3FF5" w14:textId="36C802D0" w:rsidR="00FF3AC0" w:rsidRPr="00042F16" w:rsidRDefault="00FF3AC0" w:rsidP="005B0625">
            <w:pPr>
              <w:jc w:val="center"/>
              <w:rPr>
                <w:rFonts w:ascii="Verdana" w:hAnsi="Verdana"/>
                <w:sz w:val="20"/>
                <w:szCs w:val="20"/>
              </w:rPr>
            </w:pPr>
            <w:r w:rsidRPr="00042F16">
              <w:rPr>
                <w:rFonts w:ascii="Verdana" w:hAnsi="Verdana"/>
                <w:sz w:val="20"/>
                <w:szCs w:val="20"/>
              </w:rPr>
              <w:t>- 200 bps</w:t>
            </w:r>
          </w:p>
        </w:tc>
        <w:tc>
          <w:tcPr>
            <w:tcW w:w="2976" w:type="dxa"/>
          </w:tcPr>
          <w:p w14:paraId="4BB58021" w14:textId="0F988938" w:rsidR="00FF3AC0" w:rsidRPr="00042F16" w:rsidRDefault="00FF3AC0" w:rsidP="005B0625">
            <w:pPr>
              <w:jc w:val="center"/>
              <w:rPr>
                <w:rFonts w:ascii="Verdana" w:hAnsi="Verdana"/>
                <w:sz w:val="20"/>
                <w:szCs w:val="20"/>
              </w:rPr>
            </w:pPr>
            <w:r w:rsidRPr="00042F16">
              <w:rPr>
                <w:rFonts w:ascii="Verdana" w:hAnsi="Verdana"/>
                <w:sz w:val="20"/>
                <w:szCs w:val="20"/>
              </w:rPr>
              <w:t>+ 200 bps</w:t>
            </w:r>
          </w:p>
        </w:tc>
      </w:tr>
      <w:tr w:rsidR="00FF3AC0" w:rsidRPr="00042F16" w14:paraId="2BBDB0A2" w14:textId="77777777" w:rsidTr="007E7755">
        <w:tc>
          <w:tcPr>
            <w:tcW w:w="3256" w:type="dxa"/>
          </w:tcPr>
          <w:p w14:paraId="0916CF8A" w14:textId="60767E27" w:rsidR="00FF3AC0" w:rsidRPr="00042F16" w:rsidRDefault="00FF3AC0" w:rsidP="005B0625">
            <w:pPr>
              <w:jc w:val="center"/>
              <w:rPr>
                <w:rFonts w:ascii="Verdana" w:hAnsi="Verdana"/>
                <w:sz w:val="20"/>
                <w:szCs w:val="20"/>
              </w:rPr>
            </w:pPr>
            <w:r w:rsidRPr="00042F16">
              <w:rPr>
                <w:rFonts w:ascii="Verdana" w:hAnsi="Verdana"/>
                <w:sz w:val="20"/>
                <w:szCs w:val="20"/>
              </w:rPr>
              <w:t>Impact on own funds</w:t>
            </w:r>
          </w:p>
        </w:tc>
        <w:tc>
          <w:tcPr>
            <w:tcW w:w="3118" w:type="dxa"/>
          </w:tcPr>
          <w:p w14:paraId="4B24A012" w14:textId="5B92A0C5" w:rsidR="00FF3AC0" w:rsidRPr="00042F16" w:rsidRDefault="00FD71FB" w:rsidP="005B0625">
            <w:pPr>
              <w:jc w:val="center"/>
              <w:rPr>
                <w:rFonts w:ascii="Verdana" w:hAnsi="Verdana"/>
                <w:sz w:val="20"/>
                <w:szCs w:val="20"/>
              </w:rPr>
            </w:pPr>
            <w:r>
              <w:rPr>
                <w:rFonts w:ascii="Verdana" w:hAnsi="Verdana"/>
                <w:sz w:val="20"/>
                <w:szCs w:val="20"/>
              </w:rPr>
              <w:t>679,911</w:t>
            </w:r>
          </w:p>
        </w:tc>
        <w:tc>
          <w:tcPr>
            <w:tcW w:w="2976" w:type="dxa"/>
          </w:tcPr>
          <w:p w14:paraId="571DC28E" w14:textId="76BDF30B" w:rsidR="00FF3AC0" w:rsidRPr="00042F16" w:rsidRDefault="00FD71FB" w:rsidP="005B0625">
            <w:pPr>
              <w:jc w:val="center"/>
              <w:rPr>
                <w:rFonts w:ascii="Verdana" w:hAnsi="Verdana"/>
                <w:sz w:val="20"/>
                <w:szCs w:val="20"/>
              </w:rPr>
            </w:pPr>
            <w:r>
              <w:rPr>
                <w:rFonts w:ascii="Verdana" w:hAnsi="Verdana"/>
                <w:sz w:val="20"/>
                <w:szCs w:val="20"/>
              </w:rPr>
              <w:t>- 679,911</w:t>
            </w:r>
          </w:p>
        </w:tc>
      </w:tr>
    </w:tbl>
    <w:p w14:paraId="197533EB" w14:textId="69AF60BF" w:rsidR="00FF3AC0" w:rsidRPr="00042F16" w:rsidRDefault="00FF3AC0" w:rsidP="005B0625">
      <w:pPr>
        <w:spacing w:after="0" w:line="240" w:lineRule="auto"/>
        <w:rPr>
          <w:rFonts w:ascii="Verdana" w:hAnsi="Verdana"/>
          <w:sz w:val="20"/>
          <w:szCs w:val="20"/>
        </w:rPr>
      </w:pPr>
    </w:p>
    <w:p w14:paraId="2172EABE" w14:textId="5D4AE546" w:rsidR="007133BD" w:rsidRPr="005B0625" w:rsidRDefault="007133BD" w:rsidP="005B0625">
      <w:pPr>
        <w:pStyle w:val="Heading2"/>
        <w:spacing w:before="0" w:line="240" w:lineRule="auto"/>
        <w:ind w:left="567" w:hanging="567"/>
        <w:rPr>
          <w:rFonts w:ascii="Verdana" w:hAnsi="Verdana"/>
          <w:b/>
          <w:color w:val="6CACE4"/>
          <w:sz w:val="22"/>
          <w:szCs w:val="22"/>
        </w:rPr>
      </w:pPr>
      <w:bookmarkStart w:id="74" w:name="_Toc22716603"/>
      <w:r w:rsidRPr="005B0625">
        <w:rPr>
          <w:rFonts w:ascii="Verdana" w:hAnsi="Verdana"/>
          <w:b/>
          <w:color w:val="6CACE4"/>
          <w:sz w:val="22"/>
          <w:szCs w:val="22"/>
        </w:rPr>
        <w:t>Liquidity risk</w:t>
      </w:r>
      <w:bookmarkEnd w:id="74"/>
    </w:p>
    <w:p w14:paraId="2CBB4983" w14:textId="77777777" w:rsidR="005B0625" w:rsidRPr="005B0625" w:rsidRDefault="005B0625" w:rsidP="005B0625">
      <w:pPr>
        <w:spacing w:after="0" w:line="240" w:lineRule="auto"/>
      </w:pPr>
    </w:p>
    <w:p w14:paraId="1D4A9156" w14:textId="369B979F" w:rsidR="007133BD" w:rsidRPr="005B0625" w:rsidRDefault="005B0625" w:rsidP="005B0625">
      <w:pPr>
        <w:pStyle w:val="Heading3"/>
        <w:spacing w:before="0" w:line="240" w:lineRule="auto"/>
        <w:ind w:left="567" w:hanging="567"/>
        <w:rPr>
          <w:rFonts w:ascii="Verdana" w:hAnsi="Verdana"/>
          <w:b/>
          <w:color w:val="6CACE4"/>
          <w:sz w:val="22"/>
          <w:szCs w:val="22"/>
        </w:rPr>
      </w:pPr>
      <w:bookmarkStart w:id="75" w:name="_Toc22716604"/>
      <w:r>
        <w:rPr>
          <w:rFonts w:ascii="Verdana" w:hAnsi="Verdana"/>
          <w:b/>
          <w:color w:val="6CACE4"/>
          <w:sz w:val="22"/>
          <w:szCs w:val="22"/>
        </w:rPr>
        <w:t xml:space="preserve"> </w:t>
      </w:r>
      <w:r w:rsidR="007133BD" w:rsidRPr="005B0625">
        <w:rPr>
          <w:rFonts w:ascii="Verdana" w:hAnsi="Verdana"/>
          <w:b/>
          <w:color w:val="6CACE4"/>
          <w:sz w:val="22"/>
          <w:szCs w:val="22"/>
        </w:rPr>
        <w:t>Company</w:t>
      </w:r>
      <w:r w:rsidR="00E87994" w:rsidRPr="005B0625">
        <w:rPr>
          <w:rFonts w:ascii="Verdana" w:hAnsi="Verdana"/>
          <w:b/>
          <w:color w:val="6CACE4"/>
          <w:sz w:val="22"/>
          <w:szCs w:val="22"/>
        </w:rPr>
        <w:t>’s</w:t>
      </w:r>
      <w:r w:rsidR="007133BD" w:rsidRPr="005B0625">
        <w:rPr>
          <w:rFonts w:ascii="Verdana" w:hAnsi="Verdana"/>
          <w:b/>
          <w:color w:val="6CACE4"/>
          <w:sz w:val="22"/>
          <w:szCs w:val="22"/>
        </w:rPr>
        <w:t xml:space="preserve"> own liquidity</w:t>
      </w:r>
      <w:bookmarkEnd w:id="75"/>
    </w:p>
    <w:p w14:paraId="37F99896" w14:textId="77777777" w:rsidR="005B0625" w:rsidRPr="005B0625" w:rsidRDefault="005B0625" w:rsidP="005B0625">
      <w:pPr>
        <w:spacing w:after="0" w:line="240" w:lineRule="auto"/>
      </w:pPr>
    </w:p>
    <w:p w14:paraId="40A9F970" w14:textId="7B3335D6" w:rsidR="00B62AF2" w:rsidRPr="00042F16" w:rsidRDefault="00957371" w:rsidP="005B0625">
      <w:pPr>
        <w:spacing w:after="0" w:line="240" w:lineRule="auto"/>
        <w:rPr>
          <w:rFonts w:ascii="Verdana" w:hAnsi="Verdana"/>
          <w:sz w:val="20"/>
          <w:szCs w:val="20"/>
        </w:rPr>
      </w:pPr>
      <w:r w:rsidRPr="00042F16">
        <w:rPr>
          <w:rFonts w:ascii="Verdana" w:hAnsi="Verdana"/>
          <w:sz w:val="20"/>
          <w:szCs w:val="20"/>
        </w:rPr>
        <w:t>The Company</w:t>
      </w:r>
      <w:r w:rsidR="00B62AF2" w:rsidRPr="00042F16">
        <w:rPr>
          <w:rFonts w:ascii="Verdana" w:hAnsi="Verdana"/>
          <w:sz w:val="20"/>
          <w:szCs w:val="20"/>
        </w:rPr>
        <w:t xml:space="preserve"> distinguishes two different liquidity risk</w:t>
      </w:r>
      <w:r w:rsidR="0028130A" w:rsidRPr="00042F16">
        <w:rPr>
          <w:rFonts w:ascii="Verdana" w:hAnsi="Verdana"/>
          <w:sz w:val="20"/>
          <w:szCs w:val="20"/>
        </w:rPr>
        <w:t>s: the company own liquidity and</w:t>
      </w:r>
      <w:r w:rsidR="00B62AF2" w:rsidRPr="00042F16">
        <w:rPr>
          <w:rFonts w:ascii="Verdana" w:hAnsi="Verdana"/>
          <w:sz w:val="20"/>
          <w:szCs w:val="20"/>
        </w:rPr>
        <w:t xml:space="preserve"> the market liquidity risk. The first </w:t>
      </w:r>
      <w:r w:rsidR="005F0BAD" w:rsidRPr="00042F16">
        <w:rPr>
          <w:rFonts w:ascii="Verdana" w:hAnsi="Verdana"/>
          <w:sz w:val="20"/>
          <w:szCs w:val="20"/>
        </w:rPr>
        <w:t>one</w:t>
      </w:r>
      <w:r w:rsidR="00B62AF2" w:rsidRPr="00042F16">
        <w:rPr>
          <w:rFonts w:ascii="Verdana" w:hAnsi="Verdana"/>
          <w:sz w:val="20"/>
          <w:szCs w:val="20"/>
        </w:rPr>
        <w:t xml:space="preserve"> is the inability to face </w:t>
      </w:r>
      <w:r w:rsidR="005F0BAD" w:rsidRPr="00042F16">
        <w:rPr>
          <w:rFonts w:ascii="Verdana" w:hAnsi="Verdana"/>
          <w:sz w:val="20"/>
          <w:szCs w:val="20"/>
        </w:rPr>
        <w:t>short-term</w:t>
      </w:r>
      <w:r w:rsidR="00B62AF2" w:rsidRPr="00042F16">
        <w:rPr>
          <w:rFonts w:ascii="Verdana" w:hAnsi="Verdana"/>
          <w:sz w:val="20"/>
          <w:szCs w:val="20"/>
        </w:rPr>
        <w:t xml:space="preserve"> liabilities and is a moderate risk for the Company.</w:t>
      </w:r>
    </w:p>
    <w:p w14:paraId="6DA29CEA" w14:textId="77777777" w:rsidR="005B0625" w:rsidRDefault="005B0625" w:rsidP="005B0625">
      <w:pPr>
        <w:spacing w:after="0" w:line="240" w:lineRule="auto"/>
        <w:rPr>
          <w:rFonts w:ascii="Verdana" w:hAnsi="Verdana"/>
          <w:sz w:val="20"/>
          <w:szCs w:val="20"/>
        </w:rPr>
      </w:pPr>
    </w:p>
    <w:p w14:paraId="1B6A56CA" w14:textId="211D2EA6" w:rsidR="00B62AF2" w:rsidRPr="00042F16" w:rsidRDefault="00B3109A" w:rsidP="005B0625">
      <w:pPr>
        <w:spacing w:after="0" w:line="240" w:lineRule="auto"/>
        <w:rPr>
          <w:rFonts w:ascii="Verdana" w:hAnsi="Verdana"/>
          <w:sz w:val="20"/>
          <w:szCs w:val="20"/>
        </w:rPr>
      </w:pPr>
      <w:r w:rsidRPr="00042F16">
        <w:rPr>
          <w:rFonts w:ascii="Verdana" w:hAnsi="Verdana"/>
          <w:sz w:val="20"/>
          <w:szCs w:val="20"/>
        </w:rPr>
        <w:t>The major mitigating measures</w:t>
      </w:r>
      <w:r w:rsidR="00B62AF2" w:rsidRPr="00042F16">
        <w:rPr>
          <w:rFonts w:ascii="Verdana" w:hAnsi="Verdana"/>
          <w:sz w:val="20"/>
          <w:szCs w:val="20"/>
        </w:rPr>
        <w:t xml:space="preserve"> in force are the following:</w:t>
      </w:r>
    </w:p>
    <w:p w14:paraId="0C3ECE1E" w14:textId="53C30546" w:rsidR="00123DDD" w:rsidRPr="00042F16" w:rsidRDefault="00B3109A" w:rsidP="005B0625">
      <w:pPr>
        <w:pStyle w:val="ListParagraph"/>
        <w:numPr>
          <w:ilvl w:val="0"/>
          <w:numId w:val="17"/>
        </w:numPr>
        <w:spacing w:after="0" w:line="240" w:lineRule="auto"/>
        <w:rPr>
          <w:rFonts w:ascii="Verdana" w:hAnsi="Verdana"/>
          <w:sz w:val="20"/>
          <w:szCs w:val="20"/>
        </w:rPr>
      </w:pPr>
      <w:r w:rsidRPr="00042F16">
        <w:rPr>
          <w:rFonts w:ascii="Verdana" w:hAnsi="Verdana"/>
          <w:sz w:val="20"/>
          <w:szCs w:val="20"/>
        </w:rPr>
        <w:t>Accounting department</w:t>
      </w:r>
      <w:r w:rsidR="00123DDD" w:rsidRPr="00042F16">
        <w:rPr>
          <w:rFonts w:ascii="Verdana" w:hAnsi="Verdana"/>
          <w:sz w:val="20"/>
          <w:szCs w:val="20"/>
        </w:rPr>
        <w:t xml:space="preserve"> follo</w:t>
      </w:r>
      <w:r w:rsidR="0028130A" w:rsidRPr="00042F16">
        <w:rPr>
          <w:rFonts w:ascii="Verdana" w:hAnsi="Verdana"/>
          <w:sz w:val="20"/>
          <w:szCs w:val="20"/>
        </w:rPr>
        <w:t>w</w:t>
      </w:r>
      <w:r w:rsidRPr="00042F16">
        <w:rPr>
          <w:rFonts w:ascii="Verdana" w:hAnsi="Verdana"/>
          <w:sz w:val="20"/>
          <w:szCs w:val="20"/>
        </w:rPr>
        <w:t>s</w:t>
      </w:r>
      <w:r w:rsidR="0028130A" w:rsidRPr="00042F16">
        <w:rPr>
          <w:rFonts w:ascii="Verdana" w:hAnsi="Verdana"/>
          <w:sz w:val="20"/>
          <w:szCs w:val="20"/>
        </w:rPr>
        <w:t xml:space="preserve"> up</w:t>
      </w:r>
      <w:r w:rsidRPr="00042F16">
        <w:rPr>
          <w:rFonts w:ascii="Verdana" w:hAnsi="Verdana"/>
          <w:sz w:val="20"/>
          <w:szCs w:val="20"/>
        </w:rPr>
        <w:t xml:space="preserve"> on a daily basis</w:t>
      </w:r>
      <w:r w:rsidR="0028130A" w:rsidRPr="00042F16">
        <w:rPr>
          <w:rFonts w:ascii="Verdana" w:hAnsi="Verdana"/>
          <w:sz w:val="20"/>
          <w:szCs w:val="20"/>
        </w:rPr>
        <w:t xml:space="preserve"> </w:t>
      </w:r>
      <w:r w:rsidR="00123DDD" w:rsidRPr="00042F16">
        <w:rPr>
          <w:rFonts w:ascii="Verdana" w:hAnsi="Verdana"/>
          <w:sz w:val="20"/>
          <w:szCs w:val="20"/>
        </w:rPr>
        <w:t xml:space="preserve">based on aged debt schedules. </w:t>
      </w:r>
    </w:p>
    <w:p w14:paraId="2CBBAA92" w14:textId="304FF75F" w:rsidR="00123DDD" w:rsidRPr="00042F16" w:rsidRDefault="00123DDD" w:rsidP="005B0625">
      <w:pPr>
        <w:pStyle w:val="ListParagraph"/>
        <w:numPr>
          <w:ilvl w:val="0"/>
          <w:numId w:val="17"/>
        </w:numPr>
        <w:spacing w:after="0" w:line="240" w:lineRule="auto"/>
        <w:rPr>
          <w:rFonts w:ascii="Verdana" w:hAnsi="Verdana"/>
          <w:sz w:val="20"/>
          <w:szCs w:val="20"/>
        </w:rPr>
      </w:pPr>
      <w:r w:rsidRPr="00042F16">
        <w:rPr>
          <w:rFonts w:ascii="Verdana" w:hAnsi="Verdana"/>
          <w:sz w:val="20"/>
          <w:szCs w:val="20"/>
        </w:rPr>
        <w:t xml:space="preserve">Prudent </w:t>
      </w:r>
      <w:r w:rsidR="00B3109A" w:rsidRPr="00042F16">
        <w:rPr>
          <w:rFonts w:ascii="Verdana" w:hAnsi="Verdana"/>
          <w:sz w:val="20"/>
          <w:szCs w:val="20"/>
        </w:rPr>
        <w:t xml:space="preserve">daily </w:t>
      </w:r>
      <w:r w:rsidRPr="00042F16">
        <w:rPr>
          <w:rFonts w:ascii="Verdana" w:hAnsi="Verdana"/>
          <w:sz w:val="20"/>
          <w:szCs w:val="20"/>
        </w:rPr>
        <w:t>cash count</w:t>
      </w:r>
      <w:r w:rsidR="00B3109A" w:rsidRPr="00042F16">
        <w:rPr>
          <w:rFonts w:ascii="Verdana" w:hAnsi="Verdana"/>
          <w:sz w:val="20"/>
          <w:szCs w:val="20"/>
        </w:rPr>
        <w:t>erparty</w:t>
      </w:r>
      <w:r w:rsidRPr="00042F16">
        <w:rPr>
          <w:rFonts w:ascii="Verdana" w:hAnsi="Verdana"/>
          <w:sz w:val="20"/>
          <w:szCs w:val="20"/>
        </w:rPr>
        <w:t xml:space="preserve"> monitored by the Market Desk and regularly reviewed by the Treasury Committee. </w:t>
      </w:r>
    </w:p>
    <w:p w14:paraId="18BA80AB" w14:textId="27094807" w:rsidR="00123DDD" w:rsidRPr="00042F16" w:rsidRDefault="00B3109A" w:rsidP="005B0625">
      <w:pPr>
        <w:pStyle w:val="ListParagraph"/>
        <w:numPr>
          <w:ilvl w:val="0"/>
          <w:numId w:val="17"/>
        </w:numPr>
        <w:spacing w:after="0" w:line="240" w:lineRule="auto"/>
        <w:rPr>
          <w:rFonts w:ascii="Verdana" w:hAnsi="Verdana"/>
          <w:sz w:val="20"/>
          <w:szCs w:val="20"/>
        </w:rPr>
      </w:pPr>
      <w:r w:rsidRPr="00042F16">
        <w:rPr>
          <w:rFonts w:ascii="Verdana" w:hAnsi="Verdana"/>
          <w:sz w:val="20"/>
          <w:szCs w:val="20"/>
        </w:rPr>
        <w:t xml:space="preserve">The </w:t>
      </w:r>
      <w:r w:rsidR="00123DDD" w:rsidRPr="00042F16">
        <w:rPr>
          <w:rFonts w:ascii="Verdana" w:hAnsi="Verdana"/>
          <w:sz w:val="20"/>
          <w:szCs w:val="20"/>
        </w:rPr>
        <w:t>Company own</w:t>
      </w:r>
      <w:r w:rsidRPr="00042F16">
        <w:rPr>
          <w:rFonts w:ascii="Verdana" w:hAnsi="Verdana"/>
          <w:sz w:val="20"/>
          <w:szCs w:val="20"/>
        </w:rPr>
        <w:t>s</w:t>
      </w:r>
      <w:r w:rsidR="00123DDD" w:rsidRPr="00042F16">
        <w:rPr>
          <w:rFonts w:ascii="Verdana" w:hAnsi="Verdana"/>
          <w:sz w:val="20"/>
          <w:szCs w:val="20"/>
        </w:rPr>
        <w:t xml:space="preserve"> liquidity</w:t>
      </w:r>
      <w:r w:rsidRPr="00042F16">
        <w:rPr>
          <w:rFonts w:ascii="Verdana" w:hAnsi="Verdana"/>
          <w:sz w:val="20"/>
          <w:szCs w:val="20"/>
        </w:rPr>
        <w:t xml:space="preserve"> mainly limited to cash and</w:t>
      </w:r>
      <w:r w:rsidR="0028130A" w:rsidRPr="00042F16">
        <w:rPr>
          <w:rFonts w:ascii="Verdana" w:hAnsi="Verdana"/>
          <w:sz w:val="20"/>
          <w:szCs w:val="20"/>
        </w:rPr>
        <w:t xml:space="preserve"> short-</w:t>
      </w:r>
      <w:r w:rsidR="00123DDD" w:rsidRPr="00042F16">
        <w:rPr>
          <w:rFonts w:ascii="Verdana" w:hAnsi="Verdana"/>
          <w:sz w:val="20"/>
          <w:szCs w:val="20"/>
        </w:rPr>
        <w:t>term certificates of deposits.</w:t>
      </w:r>
    </w:p>
    <w:p w14:paraId="126AA7EF" w14:textId="77777777" w:rsidR="005B0625" w:rsidRDefault="005B0625" w:rsidP="005B0625">
      <w:pPr>
        <w:spacing w:after="0" w:line="240" w:lineRule="auto"/>
        <w:rPr>
          <w:rFonts w:ascii="Verdana" w:hAnsi="Verdana"/>
          <w:sz w:val="20"/>
          <w:szCs w:val="20"/>
        </w:rPr>
      </w:pPr>
    </w:p>
    <w:p w14:paraId="1119CDD3" w14:textId="3F29C290" w:rsidR="00123DDD" w:rsidRPr="00042F16" w:rsidRDefault="00123DDD" w:rsidP="005B0625">
      <w:pPr>
        <w:spacing w:after="0" w:line="240" w:lineRule="auto"/>
        <w:rPr>
          <w:rFonts w:ascii="Verdana" w:hAnsi="Verdana"/>
          <w:sz w:val="20"/>
          <w:szCs w:val="20"/>
        </w:rPr>
      </w:pPr>
      <w:r w:rsidRPr="00042F16">
        <w:rPr>
          <w:rFonts w:ascii="Verdana" w:hAnsi="Verdana"/>
          <w:sz w:val="20"/>
          <w:szCs w:val="20"/>
        </w:rPr>
        <w:t xml:space="preserve">Through </w:t>
      </w:r>
      <w:r w:rsidR="00E87994" w:rsidRPr="00042F16">
        <w:rPr>
          <w:rFonts w:ascii="Verdana" w:hAnsi="Verdana"/>
          <w:sz w:val="20"/>
          <w:szCs w:val="20"/>
        </w:rPr>
        <w:t xml:space="preserve">these </w:t>
      </w:r>
      <w:r w:rsidRPr="00042F16">
        <w:rPr>
          <w:rFonts w:ascii="Verdana" w:hAnsi="Verdana"/>
          <w:sz w:val="20"/>
          <w:szCs w:val="20"/>
        </w:rPr>
        <w:t>controls and</w:t>
      </w:r>
      <w:r w:rsidR="00E87994" w:rsidRPr="00042F16">
        <w:rPr>
          <w:rFonts w:ascii="Verdana" w:hAnsi="Verdana"/>
          <w:sz w:val="20"/>
          <w:szCs w:val="20"/>
        </w:rPr>
        <w:t xml:space="preserve"> through the</w:t>
      </w:r>
      <w:r w:rsidRPr="00042F16">
        <w:rPr>
          <w:rFonts w:ascii="Verdana" w:hAnsi="Verdana"/>
          <w:sz w:val="20"/>
          <w:szCs w:val="20"/>
        </w:rPr>
        <w:t xml:space="preserve"> close monitoring of liquidity, the residual risk remains minor and the likelihood of </w:t>
      </w:r>
      <w:r w:rsidR="00E87994" w:rsidRPr="00042F16">
        <w:rPr>
          <w:rFonts w:ascii="Verdana" w:hAnsi="Verdana"/>
          <w:sz w:val="20"/>
          <w:szCs w:val="20"/>
        </w:rPr>
        <w:t xml:space="preserve">occurrence </w:t>
      </w:r>
      <w:r w:rsidRPr="00042F16">
        <w:rPr>
          <w:rFonts w:ascii="Verdana" w:hAnsi="Verdana"/>
          <w:sz w:val="20"/>
          <w:szCs w:val="20"/>
        </w:rPr>
        <w:t xml:space="preserve">is very rare. </w:t>
      </w:r>
    </w:p>
    <w:p w14:paraId="20B93718" w14:textId="77777777" w:rsidR="005B0625" w:rsidRDefault="005B0625" w:rsidP="005B0625">
      <w:pPr>
        <w:spacing w:after="0" w:line="240" w:lineRule="auto"/>
        <w:rPr>
          <w:rFonts w:ascii="Verdana" w:hAnsi="Verdana"/>
          <w:sz w:val="20"/>
          <w:szCs w:val="20"/>
        </w:rPr>
      </w:pPr>
    </w:p>
    <w:p w14:paraId="1AF50FA2" w14:textId="56869470" w:rsidR="00123DDD" w:rsidRDefault="00123DDD" w:rsidP="005B0625">
      <w:pPr>
        <w:spacing w:after="0" w:line="240" w:lineRule="auto"/>
        <w:rPr>
          <w:rFonts w:ascii="Verdana" w:hAnsi="Verdana"/>
          <w:sz w:val="20"/>
          <w:szCs w:val="20"/>
        </w:rPr>
      </w:pPr>
      <w:r w:rsidRPr="00042F16">
        <w:rPr>
          <w:rFonts w:ascii="Verdana" w:hAnsi="Verdana"/>
          <w:sz w:val="20"/>
          <w:szCs w:val="20"/>
        </w:rPr>
        <w:t>In the past year</w:t>
      </w:r>
      <w:r w:rsidR="0028130A" w:rsidRPr="00042F16">
        <w:rPr>
          <w:rFonts w:ascii="Verdana" w:hAnsi="Verdana"/>
          <w:sz w:val="20"/>
          <w:szCs w:val="20"/>
        </w:rPr>
        <w:t>s</w:t>
      </w:r>
      <w:r w:rsidRPr="00042F16">
        <w:rPr>
          <w:rFonts w:ascii="Verdana" w:hAnsi="Verdana"/>
          <w:sz w:val="20"/>
          <w:szCs w:val="20"/>
        </w:rPr>
        <w:t>, no liquidity issues have been reported. There were n</w:t>
      </w:r>
      <w:r w:rsidR="00B62AF2" w:rsidRPr="00042F16">
        <w:rPr>
          <w:rFonts w:ascii="Verdana" w:hAnsi="Verdana"/>
          <w:sz w:val="20"/>
          <w:szCs w:val="20"/>
        </w:rPr>
        <w:t>o si</w:t>
      </w:r>
      <w:r w:rsidRPr="00042F16">
        <w:rPr>
          <w:rFonts w:ascii="Verdana" w:hAnsi="Verdana"/>
          <w:sz w:val="20"/>
          <w:szCs w:val="20"/>
        </w:rPr>
        <w:t>gnificant cash-in and cash-out in the Company’s activity</w:t>
      </w:r>
      <w:r w:rsidR="00FD71FB">
        <w:rPr>
          <w:rFonts w:ascii="Verdana" w:hAnsi="Verdana"/>
          <w:sz w:val="20"/>
          <w:szCs w:val="20"/>
        </w:rPr>
        <w:t xml:space="preserve">, </w:t>
      </w:r>
      <w:r w:rsidR="00FD71FB" w:rsidRPr="0065464B">
        <w:rPr>
          <w:rFonts w:ascii="Verdana" w:hAnsi="Verdana"/>
          <w:sz w:val="20"/>
          <w:szCs w:val="20"/>
        </w:rPr>
        <w:t>except for the payment of the dividends to Foyer</w:t>
      </w:r>
      <w:r w:rsidRPr="00042F16">
        <w:rPr>
          <w:rFonts w:ascii="Verdana" w:hAnsi="Verdana"/>
          <w:sz w:val="20"/>
          <w:szCs w:val="20"/>
        </w:rPr>
        <w:t xml:space="preserve">. The </w:t>
      </w:r>
      <w:r w:rsidR="0028130A" w:rsidRPr="00042F16">
        <w:rPr>
          <w:rFonts w:ascii="Verdana" w:hAnsi="Verdana"/>
          <w:sz w:val="20"/>
          <w:szCs w:val="20"/>
        </w:rPr>
        <w:t>c</w:t>
      </w:r>
      <w:r w:rsidR="00B62AF2" w:rsidRPr="00042F16">
        <w:rPr>
          <w:rFonts w:ascii="Verdana" w:hAnsi="Verdana"/>
          <w:sz w:val="20"/>
          <w:szCs w:val="20"/>
        </w:rPr>
        <w:t xml:space="preserve">orporate </w:t>
      </w:r>
      <w:r w:rsidR="0028130A" w:rsidRPr="00042F16">
        <w:rPr>
          <w:rFonts w:ascii="Verdana" w:hAnsi="Verdana"/>
          <w:sz w:val="20"/>
          <w:szCs w:val="20"/>
        </w:rPr>
        <w:t>l</w:t>
      </w:r>
      <w:r w:rsidR="00B62AF2" w:rsidRPr="00042F16">
        <w:rPr>
          <w:rFonts w:ascii="Verdana" w:hAnsi="Verdana"/>
          <w:sz w:val="20"/>
          <w:szCs w:val="20"/>
        </w:rPr>
        <w:t>iquidity represents arou</w:t>
      </w:r>
      <w:r w:rsidR="00FD71FB">
        <w:rPr>
          <w:rFonts w:ascii="Verdana" w:hAnsi="Verdana"/>
          <w:sz w:val="20"/>
          <w:szCs w:val="20"/>
        </w:rPr>
        <w:t>nd 58</w:t>
      </w:r>
      <w:r w:rsidRPr="00042F16">
        <w:rPr>
          <w:rFonts w:ascii="Verdana" w:hAnsi="Verdana"/>
          <w:sz w:val="20"/>
          <w:szCs w:val="20"/>
        </w:rPr>
        <w:t xml:space="preserve">% of </w:t>
      </w:r>
      <w:r w:rsidR="0028130A" w:rsidRPr="00042F16">
        <w:rPr>
          <w:rFonts w:ascii="Verdana" w:hAnsi="Verdana"/>
          <w:sz w:val="20"/>
          <w:szCs w:val="20"/>
        </w:rPr>
        <w:t xml:space="preserve">the </w:t>
      </w:r>
      <w:r w:rsidR="00FD71FB">
        <w:rPr>
          <w:rFonts w:ascii="Verdana" w:hAnsi="Verdana"/>
          <w:sz w:val="20"/>
          <w:szCs w:val="20"/>
        </w:rPr>
        <w:t>balance sheet (4</w:t>
      </w:r>
      <w:r w:rsidRPr="00042F16">
        <w:rPr>
          <w:rFonts w:ascii="Verdana" w:hAnsi="Verdana"/>
          <w:sz w:val="20"/>
          <w:szCs w:val="20"/>
        </w:rPr>
        <w:t>7 million</w:t>
      </w:r>
      <w:r w:rsidR="00B62AF2" w:rsidRPr="00042F16">
        <w:rPr>
          <w:rFonts w:ascii="Verdana" w:hAnsi="Verdana"/>
          <w:sz w:val="20"/>
          <w:szCs w:val="20"/>
        </w:rPr>
        <w:t xml:space="preserve"> </w:t>
      </w:r>
      <w:r w:rsidRPr="00042F16">
        <w:rPr>
          <w:rFonts w:ascii="Verdana" w:hAnsi="Verdana"/>
          <w:sz w:val="20"/>
          <w:szCs w:val="20"/>
        </w:rPr>
        <w:t xml:space="preserve">EUR) and the </w:t>
      </w:r>
      <w:r w:rsidRPr="00042F16">
        <w:rPr>
          <w:rFonts w:ascii="Verdana" w:hAnsi="Verdana"/>
          <w:sz w:val="20"/>
          <w:szCs w:val="20"/>
        </w:rPr>
        <w:lastRenderedPageBreak/>
        <w:t>company received an e</w:t>
      </w:r>
      <w:r w:rsidR="00B62AF2" w:rsidRPr="00042F16">
        <w:rPr>
          <w:rFonts w:ascii="Verdana" w:hAnsi="Verdana"/>
          <w:sz w:val="20"/>
          <w:szCs w:val="20"/>
        </w:rPr>
        <w:t xml:space="preserve">xemption of the calculation of Liquidity ratios </w:t>
      </w:r>
      <w:r w:rsidRPr="00042F16">
        <w:rPr>
          <w:rFonts w:ascii="Verdana" w:hAnsi="Verdana"/>
          <w:sz w:val="20"/>
          <w:szCs w:val="20"/>
        </w:rPr>
        <w:t>(LCR (Liquidity Coverage Ratio)</w:t>
      </w:r>
      <w:r w:rsidR="00B62AF2" w:rsidRPr="00042F16">
        <w:rPr>
          <w:rFonts w:ascii="Verdana" w:hAnsi="Verdana"/>
          <w:sz w:val="20"/>
          <w:szCs w:val="20"/>
        </w:rPr>
        <w:t>, NSFR</w:t>
      </w:r>
      <w:r w:rsidR="00333E8D" w:rsidRPr="00042F16">
        <w:rPr>
          <w:rFonts w:ascii="Verdana" w:hAnsi="Verdana"/>
          <w:sz w:val="20"/>
          <w:szCs w:val="20"/>
        </w:rPr>
        <w:t xml:space="preserve"> </w:t>
      </w:r>
      <w:r w:rsidR="00B62AF2" w:rsidRPr="00042F16">
        <w:rPr>
          <w:rFonts w:ascii="Verdana" w:hAnsi="Verdana"/>
          <w:sz w:val="20"/>
          <w:szCs w:val="20"/>
        </w:rPr>
        <w:t>(Net Stable Funding Ratio)</w:t>
      </w:r>
      <w:r w:rsidRPr="00042F16">
        <w:rPr>
          <w:rFonts w:ascii="Verdana" w:hAnsi="Verdana"/>
          <w:sz w:val="20"/>
          <w:szCs w:val="20"/>
        </w:rPr>
        <w:t>. For those preceding reasons, no internal capital requirement has been computed.</w:t>
      </w:r>
    </w:p>
    <w:p w14:paraId="7D5F9385" w14:textId="77777777" w:rsidR="005B0625" w:rsidRPr="00042F16" w:rsidRDefault="005B0625" w:rsidP="005B0625">
      <w:pPr>
        <w:spacing w:after="0" w:line="240" w:lineRule="auto"/>
        <w:rPr>
          <w:rFonts w:ascii="Verdana" w:hAnsi="Verdana"/>
          <w:sz w:val="20"/>
          <w:szCs w:val="20"/>
        </w:rPr>
      </w:pPr>
    </w:p>
    <w:p w14:paraId="4499BBA3" w14:textId="0A148528" w:rsidR="007133BD" w:rsidRPr="005B0625" w:rsidRDefault="005B0625" w:rsidP="005B0625">
      <w:pPr>
        <w:pStyle w:val="Heading3"/>
        <w:spacing w:before="0" w:line="240" w:lineRule="auto"/>
        <w:ind w:left="567" w:hanging="567"/>
        <w:rPr>
          <w:rFonts w:ascii="Verdana" w:hAnsi="Verdana"/>
          <w:b/>
          <w:color w:val="6CACE4"/>
          <w:sz w:val="22"/>
          <w:szCs w:val="22"/>
        </w:rPr>
      </w:pPr>
      <w:bookmarkStart w:id="76" w:name="_Toc22716605"/>
      <w:r>
        <w:rPr>
          <w:rFonts w:ascii="Verdana" w:hAnsi="Verdana"/>
          <w:b/>
          <w:color w:val="6CACE4"/>
          <w:sz w:val="22"/>
          <w:szCs w:val="22"/>
        </w:rPr>
        <w:t xml:space="preserve"> </w:t>
      </w:r>
      <w:r w:rsidR="007133BD" w:rsidRPr="005B0625">
        <w:rPr>
          <w:rFonts w:ascii="Verdana" w:hAnsi="Verdana"/>
          <w:b/>
          <w:color w:val="6CACE4"/>
          <w:sz w:val="22"/>
          <w:szCs w:val="22"/>
        </w:rPr>
        <w:t>Market liquidity risk</w:t>
      </w:r>
      <w:bookmarkEnd w:id="76"/>
    </w:p>
    <w:p w14:paraId="72C9AA4B" w14:textId="77777777" w:rsidR="005B0625" w:rsidRPr="005B0625" w:rsidRDefault="005B0625" w:rsidP="005B0625">
      <w:pPr>
        <w:spacing w:after="0" w:line="240" w:lineRule="auto"/>
      </w:pPr>
    </w:p>
    <w:p w14:paraId="2124B2F7" w14:textId="3E74CC0E" w:rsidR="00123DDD" w:rsidRPr="00042F16" w:rsidRDefault="00123DDD" w:rsidP="005B0625">
      <w:pPr>
        <w:spacing w:after="0" w:line="240" w:lineRule="auto"/>
        <w:rPr>
          <w:rFonts w:ascii="Verdana" w:hAnsi="Verdana"/>
          <w:sz w:val="20"/>
          <w:szCs w:val="20"/>
        </w:rPr>
      </w:pPr>
      <w:r w:rsidRPr="00042F16">
        <w:rPr>
          <w:rFonts w:ascii="Verdana" w:hAnsi="Verdana"/>
          <w:sz w:val="20"/>
          <w:szCs w:val="20"/>
        </w:rPr>
        <w:t xml:space="preserve">The market liquidity risk describes </w:t>
      </w:r>
      <w:r w:rsidR="00DF0FC6" w:rsidRPr="00042F16">
        <w:rPr>
          <w:rFonts w:ascii="Verdana" w:hAnsi="Verdana"/>
          <w:sz w:val="20"/>
          <w:szCs w:val="20"/>
        </w:rPr>
        <w:t>t</w:t>
      </w:r>
      <w:r w:rsidR="00957371" w:rsidRPr="00042F16">
        <w:rPr>
          <w:rFonts w:ascii="Verdana" w:hAnsi="Verdana"/>
          <w:sz w:val="20"/>
          <w:szCs w:val="20"/>
        </w:rPr>
        <w:t>he Company</w:t>
      </w:r>
      <w:r w:rsidR="00E87994" w:rsidRPr="00042F16">
        <w:rPr>
          <w:rFonts w:ascii="Verdana" w:hAnsi="Verdana"/>
          <w:sz w:val="20"/>
          <w:szCs w:val="20"/>
        </w:rPr>
        <w:t>’s</w:t>
      </w:r>
      <w:r w:rsidRPr="00042F16">
        <w:rPr>
          <w:rFonts w:ascii="Verdana" w:hAnsi="Verdana"/>
          <w:sz w:val="20"/>
          <w:szCs w:val="20"/>
        </w:rPr>
        <w:t xml:space="preserve"> inability to offset client investment positions or to face funds redemptions instructions. </w:t>
      </w:r>
      <w:r w:rsidR="009E718C" w:rsidRPr="00042F16">
        <w:rPr>
          <w:rFonts w:ascii="Verdana" w:hAnsi="Verdana"/>
          <w:sz w:val="20"/>
          <w:szCs w:val="20"/>
        </w:rPr>
        <w:t>This liquidity risk is major for the Company and can be harmful if not monitored properly.</w:t>
      </w:r>
    </w:p>
    <w:p w14:paraId="7C836131" w14:textId="77777777" w:rsidR="005B0625" w:rsidRDefault="005B0625" w:rsidP="005B0625">
      <w:pPr>
        <w:spacing w:after="0" w:line="240" w:lineRule="auto"/>
        <w:rPr>
          <w:rFonts w:ascii="Verdana" w:hAnsi="Verdana"/>
          <w:sz w:val="20"/>
          <w:szCs w:val="20"/>
        </w:rPr>
      </w:pPr>
    </w:p>
    <w:p w14:paraId="158A7A30" w14:textId="39D29589" w:rsidR="009E718C" w:rsidRPr="00042F16" w:rsidRDefault="00957371" w:rsidP="005B0625">
      <w:pPr>
        <w:spacing w:after="0" w:line="240" w:lineRule="auto"/>
        <w:rPr>
          <w:rFonts w:ascii="Verdana" w:hAnsi="Verdana"/>
          <w:sz w:val="20"/>
          <w:szCs w:val="20"/>
        </w:rPr>
      </w:pPr>
      <w:r w:rsidRPr="00042F16">
        <w:rPr>
          <w:rFonts w:ascii="Verdana" w:hAnsi="Verdana"/>
          <w:sz w:val="20"/>
          <w:szCs w:val="20"/>
        </w:rPr>
        <w:t>The Company</w:t>
      </w:r>
      <w:r w:rsidR="009E718C" w:rsidRPr="00042F16">
        <w:rPr>
          <w:rFonts w:ascii="Verdana" w:hAnsi="Verdana"/>
          <w:sz w:val="20"/>
          <w:szCs w:val="20"/>
        </w:rPr>
        <w:t xml:space="preserve"> is applying monitoring controls at different level:</w:t>
      </w:r>
    </w:p>
    <w:p w14:paraId="03F97B5C" w14:textId="77777777" w:rsidR="00FD71FB" w:rsidRDefault="00FD71FB" w:rsidP="005B0625">
      <w:pPr>
        <w:spacing w:after="0" w:line="240" w:lineRule="auto"/>
        <w:rPr>
          <w:rFonts w:ascii="Verdana" w:hAnsi="Verdana"/>
          <w:sz w:val="20"/>
          <w:szCs w:val="20"/>
        </w:rPr>
      </w:pPr>
    </w:p>
    <w:p w14:paraId="7ADDFE90" w14:textId="5EBF74AC" w:rsidR="009E718C" w:rsidRPr="00042F16" w:rsidRDefault="009E718C" w:rsidP="005B0625">
      <w:pPr>
        <w:spacing w:after="0" w:line="240" w:lineRule="auto"/>
        <w:rPr>
          <w:rFonts w:ascii="Verdana" w:hAnsi="Verdana"/>
          <w:sz w:val="20"/>
          <w:szCs w:val="20"/>
        </w:rPr>
      </w:pPr>
      <w:r w:rsidRPr="00042F16">
        <w:rPr>
          <w:rFonts w:ascii="Verdana" w:hAnsi="Verdana"/>
          <w:sz w:val="20"/>
          <w:szCs w:val="20"/>
        </w:rPr>
        <w:t xml:space="preserve">At </w:t>
      </w:r>
      <w:r w:rsidR="00E87994" w:rsidRPr="00042F16">
        <w:rPr>
          <w:rFonts w:ascii="Verdana" w:hAnsi="Verdana"/>
          <w:sz w:val="20"/>
          <w:szCs w:val="20"/>
          <w:u w:val="single"/>
        </w:rPr>
        <w:t xml:space="preserve">global </w:t>
      </w:r>
      <w:r w:rsidRPr="00042F16">
        <w:rPr>
          <w:rFonts w:ascii="Verdana" w:hAnsi="Verdana"/>
          <w:sz w:val="20"/>
          <w:szCs w:val="20"/>
          <w:u w:val="single"/>
        </w:rPr>
        <w:t>level</w:t>
      </w:r>
      <w:r w:rsidRPr="00042F16">
        <w:rPr>
          <w:rFonts w:ascii="Verdana" w:hAnsi="Verdana"/>
          <w:sz w:val="20"/>
          <w:szCs w:val="20"/>
        </w:rPr>
        <w:t xml:space="preserve">, the client and the fund investments are subject to AMD prudent investment strategy resulting in investments mainly limited to liquid blue chip equities, highly rated corporate fixed income and highest quality government bonds. </w:t>
      </w:r>
    </w:p>
    <w:p w14:paraId="57348DF5" w14:textId="77777777" w:rsidR="005B0625" w:rsidRDefault="005B0625" w:rsidP="005B0625">
      <w:pPr>
        <w:spacing w:after="0" w:line="240" w:lineRule="auto"/>
        <w:rPr>
          <w:rFonts w:ascii="Verdana" w:hAnsi="Verdana"/>
          <w:sz w:val="20"/>
          <w:szCs w:val="20"/>
        </w:rPr>
      </w:pPr>
    </w:p>
    <w:p w14:paraId="366E8E4F" w14:textId="08CF68C3" w:rsidR="009E718C" w:rsidRPr="00042F16" w:rsidRDefault="009E718C" w:rsidP="005B0625">
      <w:pPr>
        <w:spacing w:after="0" w:line="240" w:lineRule="auto"/>
        <w:rPr>
          <w:rFonts w:ascii="Verdana" w:hAnsi="Verdana"/>
          <w:sz w:val="20"/>
          <w:szCs w:val="20"/>
        </w:rPr>
      </w:pPr>
      <w:r w:rsidRPr="00042F16">
        <w:rPr>
          <w:rFonts w:ascii="Verdana" w:hAnsi="Verdana"/>
          <w:sz w:val="20"/>
          <w:szCs w:val="20"/>
        </w:rPr>
        <w:t>Besides, the internal guidelines are regularly reviewed.</w:t>
      </w:r>
    </w:p>
    <w:p w14:paraId="1636E545" w14:textId="77777777" w:rsidR="005B0625" w:rsidRDefault="005B0625" w:rsidP="005B0625">
      <w:pPr>
        <w:spacing w:after="0" w:line="240" w:lineRule="auto"/>
        <w:rPr>
          <w:rFonts w:ascii="Verdana" w:hAnsi="Verdana"/>
          <w:sz w:val="20"/>
          <w:szCs w:val="20"/>
        </w:rPr>
      </w:pPr>
    </w:p>
    <w:p w14:paraId="17F2C94C" w14:textId="0A06BF2B" w:rsidR="009E718C" w:rsidRPr="00042F16" w:rsidRDefault="009E718C" w:rsidP="005B0625">
      <w:pPr>
        <w:spacing w:after="0" w:line="240" w:lineRule="auto"/>
        <w:rPr>
          <w:rFonts w:ascii="Verdana" w:hAnsi="Verdana"/>
          <w:sz w:val="20"/>
          <w:szCs w:val="20"/>
        </w:rPr>
      </w:pPr>
      <w:r w:rsidRPr="00042F16">
        <w:rPr>
          <w:rFonts w:ascii="Verdana" w:hAnsi="Verdana"/>
          <w:sz w:val="20"/>
          <w:szCs w:val="20"/>
        </w:rPr>
        <w:t>A</w:t>
      </w:r>
      <w:r w:rsidR="00940231" w:rsidRPr="00042F16">
        <w:rPr>
          <w:rFonts w:ascii="Verdana" w:hAnsi="Verdana"/>
          <w:sz w:val="20"/>
          <w:szCs w:val="20"/>
        </w:rPr>
        <w:t xml:space="preserve">t the </w:t>
      </w:r>
      <w:r w:rsidR="00940231" w:rsidRPr="00042F16">
        <w:rPr>
          <w:rFonts w:ascii="Verdana" w:hAnsi="Verdana"/>
          <w:sz w:val="20"/>
          <w:szCs w:val="20"/>
          <w:u w:val="single"/>
        </w:rPr>
        <w:t>SICAV level</w:t>
      </w:r>
      <w:r w:rsidR="00940231" w:rsidRPr="00042F16">
        <w:rPr>
          <w:rFonts w:ascii="Verdana" w:hAnsi="Verdana"/>
          <w:sz w:val="20"/>
          <w:szCs w:val="20"/>
        </w:rPr>
        <w:t>, some mitigating measures</w:t>
      </w:r>
      <w:r w:rsidRPr="00042F16">
        <w:rPr>
          <w:rFonts w:ascii="Verdana" w:hAnsi="Verdana"/>
          <w:sz w:val="20"/>
          <w:szCs w:val="20"/>
        </w:rPr>
        <w:t xml:space="preserve"> are also applied:</w:t>
      </w:r>
    </w:p>
    <w:p w14:paraId="1283DD7C" w14:textId="00681E6F" w:rsidR="009E718C" w:rsidRPr="00042F16" w:rsidRDefault="009E718C" w:rsidP="005B0625">
      <w:pPr>
        <w:pStyle w:val="ListParagraph"/>
        <w:numPr>
          <w:ilvl w:val="0"/>
          <w:numId w:val="18"/>
        </w:numPr>
        <w:spacing w:after="0" w:line="240" w:lineRule="auto"/>
        <w:rPr>
          <w:rFonts w:ascii="Verdana" w:hAnsi="Verdana"/>
          <w:sz w:val="20"/>
          <w:szCs w:val="20"/>
        </w:rPr>
      </w:pPr>
      <w:r w:rsidRPr="00042F16">
        <w:rPr>
          <w:rFonts w:ascii="Verdana" w:hAnsi="Verdana"/>
          <w:sz w:val="20"/>
          <w:szCs w:val="20"/>
        </w:rPr>
        <w:t xml:space="preserve">The investment strategy ensures a high level of liquid positions within all funds to enable sale/offset </w:t>
      </w:r>
      <w:r w:rsidR="005F0BAD" w:rsidRPr="00042F16">
        <w:rPr>
          <w:rFonts w:ascii="Verdana" w:hAnsi="Verdana"/>
          <w:sz w:val="20"/>
          <w:szCs w:val="20"/>
        </w:rPr>
        <w:t>at any time</w:t>
      </w:r>
      <w:r w:rsidRPr="00042F16">
        <w:rPr>
          <w:rFonts w:ascii="Verdana" w:hAnsi="Verdana"/>
          <w:sz w:val="20"/>
          <w:szCs w:val="20"/>
        </w:rPr>
        <w:t xml:space="preserve">. </w:t>
      </w:r>
    </w:p>
    <w:p w14:paraId="67D4AC58" w14:textId="510C1CAB" w:rsidR="009E718C" w:rsidRPr="00042F16" w:rsidRDefault="009E718C" w:rsidP="005B0625">
      <w:pPr>
        <w:pStyle w:val="ListParagraph"/>
        <w:numPr>
          <w:ilvl w:val="0"/>
          <w:numId w:val="18"/>
        </w:numPr>
        <w:spacing w:after="0" w:line="240" w:lineRule="auto"/>
        <w:rPr>
          <w:rFonts w:ascii="Verdana" w:hAnsi="Verdana"/>
          <w:sz w:val="20"/>
          <w:szCs w:val="20"/>
        </w:rPr>
      </w:pPr>
      <w:r w:rsidRPr="00042F16">
        <w:rPr>
          <w:rFonts w:ascii="Verdana" w:hAnsi="Verdana"/>
          <w:sz w:val="20"/>
          <w:szCs w:val="20"/>
        </w:rPr>
        <w:t xml:space="preserve">The fund managers monitor the redemptions under the supervision of </w:t>
      </w:r>
      <w:r w:rsidR="00710824" w:rsidRPr="00042F16">
        <w:rPr>
          <w:rFonts w:ascii="Verdana" w:hAnsi="Verdana"/>
          <w:sz w:val="20"/>
          <w:szCs w:val="20"/>
        </w:rPr>
        <w:t>Management Company</w:t>
      </w:r>
      <w:r w:rsidRPr="00042F16">
        <w:rPr>
          <w:rFonts w:ascii="Verdana" w:hAnsi="Verdana"/>
          <w:sz w:val="20"/>
          <w:szCs w:val="20"/>
        </w:rPr>
        <w:t xml:space="preserve"> and the risk management department.</w:t>
      </w:r>
    </w:p>
    <w:p w14:paraId="369FC799" w14:textId="7141F9A7" w:rsidR="009E718C" w:rsidRPr="00042F16" w:rsidRDefault="009E718C" w:rsidP="005B0625">
      <w:pPr>
        <w:pStyle w:val="ListParagraph"/>
        <w:numPr>
          <w:ilvl w:val="0"/>
          <w:numId w:val="18"/>
        </w:numPr>
        <w:spacing w:after="0" w:line="240" w:lineRule="auto"/>
        <w:rPr>
          <w:rFonts w:ascii="Verdana" w:hAnsi="Verdana"/>
          <w:sz w:val="20"/>
          <w:szCs w:val="20"/>
        </w:rPr>
      </w:pPr>
      <w:r w:rsidRPr="00042F16">
        <w:rPr>
          <w:rFonts w:ascii="Verdana" w:hAnsi="Verdana"/>
          <w:sz w:val="20"/>
          <w:szCs w:val="20"/>
        </w:rPr>
        <w:t>The administrative agent</w:t>
      </w:r>
      <w:r w:rsidR="00710824" w:rsidRPr="00042F16">
        <w:rPr>
          <w:rFonts w:ascii="Verdana" w:hAnsi="Verdana"/>
          <w:sz w:val="20"/>
          <w:szCs w:val="20"/>
        </w:rPr>
        <w:t xml:space="preserve"> (RBC)</w:t>
      </w:r>
      <w:r w:rsidRPr="00042F16">
        <w:rPr>
          <w:rFonts w:ascii="Verdana" w:hAnsi="Verdana"/>
          <w:sz w:val="20"/>
          <w:szCs w:val="20"/>
        </w:rPr>
        <w:t xml:space="preserve"> provides a monthly </w:t>
      </w:r>
      <w:r w:rsidR="00710824" w:rsidRPr="00042F16">
        <w:rPr>
          <w:rFonts w:ascii="Verdana" w:hAnsi="Verdana"/>
          <w:sz w:val="20"/>
          <w:szCs w:val="20"/>
        </w:rPr>
        <w:t xml:space="preserve">liquidity report and they are </w:t>
      </w:r>
      <w:r w:rsidRPr="00042F16">
        <w:rPr>
          <w:rFonts w:ascii="Verdana" w:hAnsi="Verdana"/>
          <w:sz w:val="20"/>
          <w:szCs w:val="20"/>
        </w:rPr>
        <w:t>a</w:t>
      </w:r>
      <w:r w:rsidR="00710824" w:rsidRPr="00042F16">
        <w:rPr>
          <w:rFonts w:ascii="Verdana" w:hAnsi="Verdana"/>
          <w:sz w:val="20"/>
          <w:szCs w:val="20"/>
        </w:rPr>
        <w:t xml:space="preserve">nalysed by the </w:t>
      </w:r>
      <w:r w:rsidR="005F0BAD" w:rsidRPr="00042F16">
        <w:rPr>
          <w:rFonts w:ascii="Verdana" w:hAnsi="Verdana"/>
          <w:sz w:val="20"/>
          <w:szCs w:val="20"/>
        </w:rPr>
        <w:t>r</w:t>
      </w:r>
      <w:r w:rsidR="00710824" w:rsidRPr="00042F16">
        <w:rPr>
          <w:rFonts w:ascii="Verdana" w:hAnsi="Verdana"/>
          <w:sz w:val="20"/>
          <w:szCs w:val="20"/>
        </w:rPr>
        <w:t>isk management department.</w:t>
      </w:r>
    </w:p>
    <w:p w14:paraId="530645CE" w14:textId="77777777" w:rsidR="005B0625" w:rsidRDefault="005B0625" w:rsidP="005B0625">
      <w:pPr>
        <w:spacing w:after="0" w:line="240" w:lineRule="auto"/>
        <w:rPr>
          <w:rFonts w:ascii="Verdana" w:hAnsi="Verdana"/>
          <w:sz w:val="20"/>
          <w:szCs w:val="20"/>
        </w:rPr>
      </w:pPr>
    </w:p>
    <w:p w14:paraId="36AF869B" w14:textId="0DD9E4E9" w:rsidR="00710824" w:rsidRPr="00042F16" w:rsidRDefault="0028130A" w:rsidP="005B0625">
      <w:pPr>
        <w:spacing w:after="0" w:line="240" w:lineRule="auto"/>
        <w:rPr>
          <w:rFonts w:ascii="Verdana" w:hAnsi="Verdana"/>
          <w:sz w:val="20"/>
          <w:szCs w:val="20"/>
        </w:rPr>
      </w:pPr>
      <w:r w:rsidRPr="00042F16">
        <w:rPr>
          <w:rFonts w:ascii="Verdana" w:hAnsi="Verdana"/>
          <w:sz w:val="20"/>
          <w:szCs w:val="20"/>
        </w:rPr>
        <w:t xml:space="preserve">The gross risk is major and </w:t>
      </w:r>
      <w:r w:rsidR="00710824" w:rsidRPr="00042F16">
        <w:rPr>
          <w:rFonts w:ascii="Verdana" w:hAnsi="Verdana"/>
          <w:sz w:val="20"/>
          <w:szCs w:val="20"/>
        </w:rPr>
        <w:t>t</w:t>
      </w:r>
      <w:r w:rsidRPr="00042F16">
        <w:rPr>
          <w:rFonts w:ascii="Verdana" w:hAnsi="Verdana"/>
          <w:sz w:val="20"/>
          <w:szCs w:val="20"/>
        </w:rPr>
        <w:t>he residual risk remains</w:t>
      </w:r>
      <w:r w:rsidR="00710824" w:rsidRPr="00042F16">
        <w:rPr>
          <w:rFonts w:ascii="Verdana" w:hAnsi="Verdana"/>
          <w:sz w:val="20"/>
          <w:szCs w:val="20"/>
        </w:rPr>
        <w:t xml:space="preserve"> moderate as the mitigating controls are efficient and the likelihood of occurrence is very low.</w:t>
      </w:r>
    </w:p>
    <w:p w14:paraId="32B0E374" w14:textId="77777777" w:rsidR="005B0625" w:rsidRDefault="005B0625" w:rsidP="005B0625">
      <w:pPr>
        <w:spacing w:after="0" w:line="240" w:lineRule="auto"/>
        <w:rPr>
          <w:rFonts w:ascii="Verdana" w:hAnsi="Verdana"/>
          <w:sz w:val="20"/>
          <w:szCs w:val="20"/>
        </w:rPr>
      </w:pPr>
    </w:p>
    <w:p w14:paraId="6D140E27" w14:textId="71EBC465" w:rsidR="009E718C" w:rsidRPr="00042F16" w:rsidRDefault="00710824" w:rsidP="005B0625">
      <w:pPr>
        <w:spacing w:after="0" w:line="240" w:lineRule="auto"/>
        <w:rPr>
          <w:rFonts w:ascii="Verdana" w:hAnsi="Verdana"/>
          <w:sz w:val="20"/>
          <w:szCs w:val="20"/>
        </w:rPr>
      </w:pPr>
      <w:r w:rsidRPr="00042F16">
        <w:rPr>
          <w:rFonts w:ascii="Verdana" w:hAnsi="Verdana"/>
          <w:sz w:val="20"/>
          <w:szCs w:val="20"/>
        </w:rPr>
        <w:t>The liquidity cost is the cost of selling all fund positions under various scenarios and it is based on the</w:t>
      </w:r>
      <w:r w:rsidR="00D2453B" w:rsidRPr="00042F16">
        <w:rPr>
          <w:rFonts w:ascii="Verdana" w:hAnsi="Verdana"/>
          <w:sz w:val="20"/>
          <w:szCs w:val="20"/>
        </w:rPr>
        <w:t xml:space="preserve"> monthly RBC liquidity report </w:t>
      </w:r>
      <w:r w:rsidRPr="00042F16">
        <w:rPr>
          <w:rFonts w:ascii="Verdana" w:hAnsi="Verdana"/>
          <w:sz w:val="20"/>
          <w:szCs w:val="20"/>
        </w:rPr>
        <w:t xml:space="preserve">assessed for each </w:t>
      </w:r>
      <w:r w:rsidR="00957371" w:rsidRPr="00042F16">
        <w:rPr>
          <w:rFonts w:ascii="Verdana" w:hAnsi="Verdana"/>
          <w:sz w:val="20"/>
          <w:szCs w:val="20"/>
        </w:rPr>
        <w:t>The Company</w:t>
      </w:r>
      <w:r w:rsidRPr="00042F16">
        <w:rPr>
          <w:rFonts w:ascii="Verdana" w:hAnsi="Verdana"/>
          <w:sz w:val="20"/>
          <w:szCs w:val="20"/>
        </w:rPr>
        <w:t xml:space="preserve"> Sub-fund</w:t>
      </w:r>
      <w:r w:rsidR="00D2453B" w:rsidRPr="00042F16">
        <w:rPr>
          <w:rFonts w:ascii="Verdana" w:hAnsi="Verdana"/>
          <w:sz w:val="20"/>
          <w:szCs w:val="20"/>
        </w:rPr>
        <w:t>.</w:t>
      </w:r>
      <w:r w:rsidRPr="00042F16">
        <w:rPr>
          <w:rFonts w:ascii="Verdana" w:hAnsi="Verdana"/>
          <w:sz w:val="20"/>
          <w:szCs w:val="20"/>
        </w:rPr>
        <w:t xml:space="preserve"> </w:t>
      </w:r>
      <w:r w:rsidR="00D2453B" w:rsidRPr="00042F16">
        <w:rPr>
          <w:rFonts w:ascii="Verdana" w:hAnsi="Verdana"/>
          <w:sz w:val="20"/>
          <w:szCs w:val="20"/>
        </w:rPr>
        <w:t>A</w:t>
      </w:r>
      <w:r w:rsidRPr="00042F16">
        <w:rPr>
          <w:rFonts w:ascii="Verdana" w:hAnsi="Verdana"/>
          <w:sz w:val="20"/>
          <w:szCs w:val="20"/>
        </w:rPr>
        <w:t xml:space="preserve">n internal capital requirement based on the Stress Test scenario has been allocated and </w:t>
      </w:r>
      <w:r w:rsidR="00D2453B" w:rsidRPr="00042F16">
        <w:rPr>
          <w:rFonts w:ascii="Verdana" w:hAnsi="Verdana"/>
          <w:sz w:val="20"/>
          <w:szCs w:val="20"/>
        </w:rPr>
        <w:t xml:space="preserve">amounts to 50.000 EUR. </w:t>
      </w:r>
    </w:p>
    <w:p w14:paraId="7B9B45E2" w14:textId="77777777" w:rsidR="0045405F" w:rsidRPr="00042F16" w:rsidRDefault="0045405F" w:rsidP="005B0625">
      <w:pPr>
        <w:spacing w:after="0" w:line="240" w:lineRule="auto"/>
        <w:rPr>
          <w:rFonts w:ascii="Verdana" w:hAnsi="Verdana"/>
          <w:sz w:val="20"/>
          <w:szCs w:val="20"/>
        </w:rPr>
      </w:pPr>
    </w:p>
    <w:p w14:paraId="3891848F" w14:textId="4EB9CF84" w:rsidR="007133BD" w:rsidRPr="005B0625" w:rsidRDefault="007133BD" w:rsidP="005B0625">
      <w:pPr>
        <w:pStyle w:val="Heading2"/>
        <w:spacing w:before="0" w:line="240" w:lineRule="auto"/>
        <w:ind w:left="567" w:hanging="567"/>
        <w:rPr>
          <w:rFonts w:ascii="Verdana" w:hAnsi="Verdana"/>
          <w:b/>
          <w:color w:val="6CACE4"/>
          <w:sz w:val="22"/>
          <w:szCs w:val="22"/>
        </w:rPr>
      </w:pPr>
      <w:bookmarkStart w:id="77" w:name="_Toc22716606"/>
      <w:r w:rsidRPr="005B0625">
        <w:rPr>
          <w:rFonts w:ascii="Verdana" w:hAnsi="Verdana"/>
          <w:b/>
          <w:color w:val="6CACE4"/>
          <w:sz w:val="22"/>
          <w:szCs w:val="22"/>
        </w:rPr>
        <w:t>Settlement risk</w:t>
      </w:r>
      <w:bookmarkEnd w:id="77"/>
      <w:r w:rsidR="001E5B81" w:rsidRPr="005B0625">
        <w:rPr>
          <w:rFonts w:ascii="Verdana" w:hAnsi="Verdana"/>
          <w:b/>
          <w:color w:val="6CACE4"/>
          <w:sz w:val="22"/>
          <w:szCs w:val="22"/>
        </w:rPr>
        <w:t xml:space="preserve"> </w:t>
      </w:r>
    </w:p>
    <w:p w14:paraId="3D97031F" w14:textId="77777777" w:rsidR="005B0625" w:rsidRPr="005B0625" w:rsidRDefault="005B0625" w:rsidP="005B0625">
      <w:pPr>
        <w:spacing w:after="0" w:line="240" w:lineRule="auto"/>
      </w:pPr>
    </w:p>
    <w:p w14:paraId="41691F47" w14:textId="14BF0A36" w:rsidR="00D2453B" w:rsidRPr="00042F16" w:rsidRDefault="00D2453B" w:rsidP="005B0625">
      <w:pPr>
        <w:spacing w:after="0" w:line="240" w:lineRule="auto"/>
        <w:rPr>
          <w:rFonts w:ascii="Verdana" w:hAnsi="Verdana"/>
          <w:sz w:val="20"/>
          <w:szCs w:val="20"/>
        </w:rPr>
      </w:pPr>
      <w:r w:rsidRPr="00042F16">
        <w:rPr>
          <w:rFonts w:ascii="Verdana" w:hAnsi="Verdana"/>
          <w:sz w:val="20"/>
          <w:szCs w:val="20"/>
        </w:rPr>
        <w:t xml:space="preserve">The settlement risk can be described as the risk that a counterparty does not deliver a security or its value in cash as per agreement. Therefore, the risk is linked to the amount of the deals for intermediary clients or Foyer’s Group companies and the amount invested from these clients is much more important than the available internal capital of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w:t>
      </w:r>
    </w:p>
    <w:p w14:paraId="47129708" w14:textId="77777777" w:rsidR="005B0625" w:rsidRDefault="005B0625" w:rsidP="005B0625">
      <w:pPr>
        <w:spacing w:after="0" w:line="240" w:lineRule="auto"/>
        <w:rPr>
          <w:rFonts w:ascii="Verdana" w:hAnsi="Verdana"/>
          <w:sz w:val="20"/>
          <w:szCs w:val="20"/>
        </w:rPr>
      </w:pPr>
    </w:p>
    <w:p w14:paraId="5307659D" w14:textId="53710464" w:rsidR="00D2453B" w:rsidRPr="00042F16" w:rsidRDefault="00940231" w:rsidP="005B0625">
      <w:pPr>
        <w:spacing w:after="0" w:line="240" w:lineRule="auto"/>
        <w:rPr>
          <w:rFonts w:ascii="Verdana" w:hAnsi="Verdana"/>
          <w:sz w:val="20"/>
          <w:szCs w:val="20"/>
        </w:rPr>
      </w:pPr>
      <w:r w:rsidRPr="00042F16">
        <w:rPr>
          <w:rFonts w:ascii="Verdana" w:hAnsi="Verdana"/>
          <w:sz w:val="20"/>
          <w:szCs w:val="20"/>
        </w:rPr>
        <w:t>The mitigating measures</w:t>
      </w:r>
      <w:r w:rsidR="00D2453B" w:rsidRPr="00042F16">
        <w:rPr>
          <w:rFonts w:ascii="Verdana" w:hAnsi="Verdana"/>
          <w:sz w:val="20"/>
          <w:szCs w:val="20"/>
        </w:rPr>
        <w:t xml:space="preserve"> in place are the following:</w:t>
      </w:r>
    </w:p>
    <w:p w14:paraId="24191045" w14:textId="77777777" w:rsidR="00D2453B" w:rsidRPr="00042F16" w:rsidRDefault="00D2453B" w:rsidP="005B0625">
      <w:pPr>
        <w:pStyle w:val="ListParagraph"/>
        <w:numPr>
          <w:ilvl w:val="0"/>
          <w:numId w:val="19"/>
        </w:numPr>
        <w:spacing w:after="0" w:line="240" w:lineRule="auto"/>
        <w:rPr>
          <w:rFonts w:ascii="Verdana" w:hAnsi="Verdana"/>
          <w:sz w:val="20"/>
          <w:szCs w:val="20"/>
        </w:rPr>
      </w:pPr>
      <w:r w:rsidRPr="00042F16">
        <w:rPr>
          <w:rFonts w:ascii="Verdana" w:hAnsi="Verdana"/>
          <w:sz w:val="20"/>
          <w:szCs w:val="20"/>
        </w:rPr>
        <w:t xml:space="preserve">Most counterparts are in Delivery Versus Payment (DVP). </w:t>
      </w:r>
    </w:p>
    <w:p w14:paraId="7091FD75" w14:textId="1EE20E20" w:rsidR="00D2453B" w:rsidRPr="00042F16" w:rsidRDefault="00940231" w:rsidP="005B0625">
      <w:pPr>
        <w:pStyle w:val="ListParagraph"/>
        <w:numPr>
          <w:ilvl w:val="0"/>
          <w:numId w:val="19"/>
        </w:numPr>
        <w:spacing w:after="0" w:line="240" w:lineRule="auto"/>
        <w:rPr>
          <w:rFonts w:ascii="Verdana" w:hAnsi="Verdana"/>
          <w:sz w:val="20"/>
          <w:szCs w:val="20"/>
        </w:rPr>
      </w:pPr>
      <w:r w:rsidRPr="00042F16">
        <w:rPr>
          <w:rFonts w:ascii="Verdana" w:hAnsi="Verdana"/>
          <w:sz w:val="20"/>
          <w:szCs w:val="20"/>
        </w:rPr>
        <w:t xml:space="preserve">The </w:t>
      </w:r>
      <w:r w:rsidR="00CA70D7" w:rsidRPr="00042F16">
        <w:rPr>
          <w:rFonts w:ascii="Verdana" w:hAnsi="Verdana"/>
          <w:sz w:val="20"/>
          <w:szCs w:val="20"/>
        </w:rPr>
        <w:t>Authoris</w:t>
      </w:r>
      <w:r w:rsidR="00D2453B" w:rsidRPr="00042F16">
        <w:rPr>
          <w:rFonts w:ascii="Verdana" w:hAnsi="Verdana"/>
          <w:sz w:val="20"/>
          <w:szCs w:val="20"/>
        </w:rPr>
        <w:t>ed list o</w:t>
      </w:r>
      <w:r w:rsidRPr="00042F16">
        <w:rPr>
          <w:rFonts w:ascii="Verdana" w:hAnsi="Verdana"/>
          <w:sz w:val="20"/>
          <w:szCs w:val="20"/>
        </w:rPr>
        <w:t>f clearing houses includes well-known counterparties</w:t>
      </w:r>
      <w:r w:rsidR="00D2453B" w:rsidRPr="00042F16">
        <w:rPr>
          <w:rFonts w:ascii="Verdana" w:hAnsi="Verdana"/>
          <w:sz w:val="20"/>
          <w:szCs w:val="20"/>
        </w:rPr>
        <w:t xml:space="preserve"> only. </w:t>
      </w:r>
    </w:p>
    <w:p w14:paraId="2BB55BE7" w14:textId="1E758527" w:rsidR="00D2453B" w:rsidRPr="00042F16" w:rsidRDefault="00D2453B" w:rsidP="005B0625">
      <w:pPr>
        <w:pStyle w:val="ListParagraph"/>
        <w:numPr>
          <w:ilvl w:val="0"/>
          <w:numId w:val="19"/>
        </w:numPr>
        <w:spacing w:after="0" w:line="240" w:lineRule="auto"/>
        <w:rPr>
          <w:rFonts w:ascii="Verdana" w:hAnsi="Verdana"/>
          <w:sz w:val="20"/>
          <w:szCs w:val="20"/>
        </w:rPr>
      </w:pPr>
      <w:r w:rsidRPr="00042F16">
        <w:rPr>
          <w:rFonts w:ascii="Verdana" w:hAnsi="Verdana"/>
          <w:sz w:val="20"/>
          <w:szCs w:val="20"/>
        </w:rPr>
        <w:t xml:space="preserve">Experienced staff and approved procedures of the operational departments (MD and BO). </w:t>
      </w:r>
    </w:p>
    <w:p w14:paraId="213E16CE" w14:textId="076D0E60" w:rsidR="00D2453B" w:rsidRPr="00042F16" w:rsidRDefault="00D2453B" w:rsidP="005B0625">
      <w:pPr>
        <w:pStyle w:val="ListParagraph"/>
        <w:numPr>
          <w:ilvl w:val="0"/>
          <w:numId w:val="19"/>
        </w:numPr>
        <w:spacing w:after="0" w:line="240" w:lineRule="auto"/>
        <w:rPr>
          <w:rFonts w:ascii="Verdana" w:hAnsi="Verdana"/>
          <w:sz w:val="20"/>
          <w:szCs w:val="20"/>
        </w:rPr>
      </w:pPr>
      <w:r w:rsidRPr="00042F16">
        <w:rPr>
          <w:rFonts w:ascii="Verdana" w:hAnsi="Verdana"/>
          <w:sz w:val="20"/>
          <w:szCs w:val="20"/>
        </w:rPr>
        <w:t>Regular assessment</w:t>
      </w:r>
      <w:r w:rsidR="00CA70D7" w:rsidRPr="00042F16">
        <w:rPr>
          <w:rFonts w:ascii="Verdana" w:hAnsi="Verdana"/>
          <w:sz w:val="20"/>
          <w:szCs w:val="20"/>
        </w:rPr>
        <w:t>s</w:t>
      </w:r>
      <w:r w:rsidRPr="00042F16">
        <w:rPr>
          <w:rFonts w:ascii="Verdana" w:hAnsi="Verdana"/>
          <w:sz w:val="20"/>
          <w:szCs w:val="20"/>
        </w:rPr>
        <w:t xml:space="preserve"> through K</w:t>
      </w:r>
      <w:r w:rsidR="00757E88" w:rsidRPr="00042F16">
        <w:rPr>
          <w:rFonts w:ascii="Verdana" w:hAnsi="Verdana"/>
          <w:sz w:val="20"/>
          <w:szCs w:val="20"/>
        </w:rPr>
        <w:t xml:space="preserve">ey </w:t>
      </w:r>
      <w:r w:rsidRPr="00042F16">
        <w:rPr>
          <w:rFonts w:ascii="Verdana" w:hAnsi="Verdana"/>
          <w:sz w:val="20"/>
          <w:szCs w:val="20"/>
        </w:rPr>
        <w:t>P</w:t>
      </w:r>
      <w:r w:rsidR="00757E88" w:rsidRPr="00042F16">
        <w:rPr>
          <w:rFonts w:ascii="Verdana" w:hAnsi="Verdana"/>
          <w:sz w:val="20"/>
          <w:szCs w:val="20"/>
        </w:rPr>
        <w:t xml:space="preserve">erformance </w:t>
      </w:r>
      <w:r w:rsidRPr="00042F16">
        <w:rPr>
          <w:rFonts w:ascii="Verdana" w:hAnsi="Verdana"/>
          <w:sz w:val="20"/>
          <w:szCs w:val="20"/>
        </w:rPr>
        <w:t>I</w:t>
      </w:r>
      <w:r w:rsidR="00757E88" w:rsidRPr="00042F16">
        <w:rPr>
          <w:rFonts w:ascii="Verdana" w:hAnsi="Verdana"/>
          <w:sz w:val="20"/>
          <w:szCs w:val="20"/>
        </w:rPr>
        <w:t>ndicators</w:t>
      </w:r>
      <w:r w:rsidRPr="00042F16">
        <w:rPr>
          <w:rFonts w:ascii="Verdana" w:hAnsi="Verdana"/>
          <w:sz w:val="20"/>
          <w:szCs w:val="20"/>
        </w:rPr>
        <w:t xml:space="preserve"> of the delegated services. </w:t>
      </w:r>
    </w:p>
    <w:p w14:paraId="1D46E1B7" w14:textId="354888DA" w:rsidR="00D2453B" w:rsidRPr="00042F16" w:rsidRDefault="00761C10" w:rsidP="005B0625">
      <w:pPr>
        <w:pStyle w:val="ListParagraph"/>
        <w:numPr>
          <w:ilvl w:val="0"/>
          <w:numId w:val="19"/>
        </w:numPr>
        <w:spacing w:after="0" w:line="240" w:lineRule="auto"/>
        <w:rPr>
          <w:rFonts w:ascii="Verdana" w:hAnsi="Verdana"/>
          <w:sz w:val="20"/>
          <w:szCs w:val="20"/>
        </w:rPr>
      </w:pPr>
      <w:r w:rsidRPr="00042F16">
        <w:rPr>
          <w:rFonts w:ascii="Verdana" w:hAnsi="Verdana"/>
          <w:sz w:val="20"/>
          <w:szCs w:val="20"/>
        </w:rPr>
        <w:t>B</w:t>
      </w:r>
      <w:r w:rsidR="00D2453B" w:rsidRPr="00042F16">
        <w:rPr>
          <w:rFonts w:ascii="Verdana" w:hAnsi="Verdana"/>
          <w:sz w:val="20"/>
          <w:szCs w:val="20"/>
        </w:rPr>
        <w:t>rokers</w:t>
      </w:r>
      <w:r w:rsidR="00D2453B" w:rsidRPr="00042F16">
        <w:rPr>
          <w:rFonts w:ascii="Verdana" w:hAnsi="Verdana" w:cs="Arial"/>
          <w:sz w:val="20"/>
          <w:szCs w:val="20"/>
        </w:rPr>
        <w:t>’</w:t>
      </w:r>
      <w:r w:rsidRPr="00042F16">
        <w:rPr>
          <w:rFonts w:ascii="Verdana" w:hAnsi="Verdana"/>
          <w:sz w:val="20"/>
          <w:szCs w:val="20"/>
        </w:rPr>
        <w:t xml:space="preserve"> commitments regularly monitored.</w:t>
      </w:r>
    </w:p>
    <w:p w14:paraId="2F38E918" w14:textId="77777777" w:rsidR="005B0625" w:rsidRDefault="005B0625" w:rsidP="005B0625">
      <w:pPr>
        <w:spacing w:after="0" w:line="240" w:lineRule="auto"/>
        <w:rPr>
          <w:rFonts w:ascii="Verdana" w:hAnsi="Verdana"/>
          <w:sz w:val="20"/>
          <w:szCs w:val="20"/>
        </w:rPr>
      </w:pPr>
    </w:p>
    <w:p w14:paraId="6572D2AB" w14:textId="486CB374" w:rsidR="00757E88" w:rsidRPr="00042F16" w:rsidRDefault="00757E88" w:rsidP="005B0625">
      <w:pPr>
        <w:spacing w:after="0" w:line="240" w:lineRule="auto"/>
        <w:rPr>
          <w:rFonts w:ascii="Verdana" w:hAnsi="Verdana"/>
          <w:sz w:val="20"/>
          <w:szCs w:val="20"/>
        </w:rPr>
      </w:pPr>
      <w:r w:rsidRPr="00042F16">
        <w:rPr>
          <w:rFonts w:ascii="Verdana" w:hAnsi="Verdana"/>
          <w:sz w:val="20"/>
          <w:szCs w:val="20"/>
        </w:rPr>
        <w:t>Whereas mitigating controls are in place, the gross and the res</w:t>
      </w:r>
      <w:r w:rsidR="001E1642" w:rsidRPr="00042F16">
        <w:rPr>
          <w:rFonts w:ascii="Verdana" w:hAnsi="Verdana"/>
          <w:sz w:val="20"/>
          <w:szCs w:val="20"/>
        </w:rPr>
        <w:t>idual risk remain</w:t>
      </w:r>
      <w:r w:rsidRPr="00042F16">
        <w:rPr>
          <w:rFonts w:ascii="Verdana" w:hAnsi="Verdana"/>
          <w:sz w:val="20"/>
          <w:szCs w:val="20"/>
        </w:rPr>
        <w:t xml:space="preserve"> major and it is possible that a settlement risk occurs.</w:t>
      </w:r>
    </w:p>
    <w:p w14:paraId="355319BB" w14:textId="77777777" w:rsidR="005B0625" w:rsidRDefault="005B0625" w:rsidP="005B0625">
      <w:pPr>
        <w:spacing w:after="0" w:line="240" w:lineRule="auto"/>
        <w:rPr>
          <w:rFonts w:ascii="Verdana" w:hAnsi="Verdana"/>
          <w:sz w:val="20"/>
          <w:szCs w:val="20"/>
        </w:rPr>
      </w:pPr>
    </w:p>
    <w:p w14:paraId="500EF6DF" w14:textId="77777777" w:rsidR="005B0625" w:rsidRDefault="005B0625" w:rsidP="005B0625">
      <w:pPr>
        <w:spacing w:after="0" w:line="240" w:lineRule="auto"/>
        <w:rPr>
          <w:rFonts w:ascii="Verdana" w:hAnsi="Verdana"/>
          <w:sz w:val="20"/>
          <w:szCs w:val="20"/>
        </w:rPr>
      </w:pPr>
    </w:p>
    <w:p w14:paraId="69219DFA" w14:textId="77777777" w:rsidR="005B0625" w:rsidRDefault="005B0625" w:rsidP="005B0625">
      <w:pPr>
        <w:spacing w:after="0" w:line="240" w:lineRule="auto"/>
        <w:rPr>
          <w:rFonts w:ascii="Verdana" w:hAnsi="Verdana"/>
          <w:sz w:val="20"/>
          <w:szCs w:val="20"/>
        </w:rPr>
      </w:pPr>
    </w:p>
    <w:p w14:paraId="47B7201F" w14:textId="0FB43A27" w:rsidR="00D2453B" w:rsidRPr="00042F16" w:rsidRDefault="005524D8" w:rsidP="005B0625">
      <w:pPr>
        <w:spacing w:after="0" w:line="240" w:lineRule="auto"/>
        <w:rPr>
          <w:rFonts w:ascii="Verdana" w:hAnsi="Verdana"/>
          <w:sz w:val="20"/>
          <w:szCs w:val="20"/>
        </w:rPr>
      </w:pPr>
      <w:r w:rsidRPr="00042F16">
        <w:rPr>
          <w:rFonts w:ascii="Verdana" w:hAnsi="Verdana"/>
          <w:sz w:val="20"/>
          <w:szCs w:val="20"/>
        </w:rPr>
        <w:t>For the</w:t>
      </w:r>
      <w:r w:rsidR="00757E88" w:rsidRPr="00042F16">
        <w:rPr>
          <w:rFonts w:ascii="Verdana" w:hAnsi="Verdana"/>
          <w:sz w:val="20"/>
          <w:szCs w:val="20"/>
        </w:rPr>
        <w:t xml:space="preserve">se reasons, an internal capital requirement has been allocated and is based on the highest trade on Foyer’s Group companies. The risk of buy in (10% of market risk) or penalties average come to 10% and the highest trade amount to </w:t>
      </w:r>
      <w:r w:rsidR="00C72F32" w:rsidRPr="00042F16">
        <w:rPr>
          <w:rFonts w:ascii="Verdana" w:hAnsi="Verdana"/>
          <w:sz w:val="20"/>
          <w:szCs w:val="20"/>
        </w:rPr>
        <w:t xml:space="preserve">EUR </w:t>
      </w:r>
      <w:r w:rsidR="00FD71FB">
        <w:rPr>
          <w:rFonts w:ascii="Verdana" w:hAnsi="Verdana"/>
          <w:sz w:val="20"/>
          <w:szCs w:val="20"/>
        </w:rPr>
        <w:t>12</w:t>
      </w:r>
      <w:r w:rsidR="009552B1" w:rsidRPr="00042F16">
        <w:rPr>
          <w:rFonts w:ascii="Verdana" w:hAnsi="Verdana"/>
          <w:sz w:val="20"/>
          <w:szCs w:val="20"/>
        </w:rPr>
        <w:t>,</w:t>
      </w:r>
      <w:r w:rsidR="00FD71FB">
        <w:rPr>
          <w:rFonts w:ascii="Verdana" w:hAnsi="Verdana"/>
          <w:sz w:val="20"/>
          <w:szCs w:val="20"/>
        </w:rPr>
        <w:t>757</w:t>
      </w:r>
      <w:r w:rsidR="009552B1" w:rsidRPr="00042F16">
        <w:rPr>
          <w:rFonts w:ascii="Verdana" w:hAnsi="Verdana"/>
          <w:sz w:val="20"/>
          <w:szCs w:val="20"/>
        </w:rPr>
        <w:t>,0</w:t>
      </w:r>
      <w:r w:rsidR="00757E88" w:rsidRPr="00042F16">
        <w:rPr>
          <w:rFonts w:ascii="Verdana" w:hAnsi="Verdana"/>
          <w:sz w:val="20"/>
          <w:szCs w:val="20"/>
        </w:rPr>
        <w:t>00. For this reason, the internal capital requireme</w:t>
      </w:r>
      <w:r w:rsidR="009552B1" w:rsidRPr="00042F16">
        <w:rPr>
          <w:rFonts w:ascii="Verdana" w:hAnsi="Verdana"/>
          <w:sz w:val="20"/>
          <w:szCs w:val="20"/>
        </w:rPr>
        <w:t xml:space="preserve">nt allocated is </w:t>
      </w:r>
      <w:r w:rsidR="00C72F32" w:rsidRPr="00042F16">
        <w:rPr>
          <w:rFonts w:ascii="Verdana" w:hAnsi="Verdana"/>
          <w:sz w:val="20"/>
          <w:szCs w:val="20"/>
        </w:rPr>
        <w:t xml:space="preserve">EUR </w:t>
      </w:r>
      <w:r w:rsidR="009552B1" w:rsidRPr="00042F16">
        <w:rPr>
          <w:rFonts w:ascii="Verdana" w:hAnsi="Verdana"/>
          <w:sz w:val="20"/>
          <w:szCs w:val="20"/>
        </w:rPr>
        <w:t>1,</w:t>
      </w:r>
      <w:r w:rsidR="00FD71FB">
        <w:rPr>
          <w:rFonts w:ascii="Verdana" w:hAnsi="Verdana"/>
          <w:sz w:val="20"/>
          <w:szCs w:val="20"/>
        </w:rPr>
        <w:t>3</w:t>
      </w:r>
      <w:r w:rsidR="00F32FB5" w:rsidRPr="00042F16">
        <w:rPr>
          <w:rFonts w:ascii="Verdana" w:hAnsi="Verdana"/>
          <w:sz w:val="20"/>
          <w:szCs w:val="20"/>
        </w:rPr>
        <w:t>00</w:t>
      </w:r>
      <w:r w:rsidR="009552B1" w:rsidRPr="00042F16">
        <w:rPr>
          <w:rFonts w:ascii="Verdana" w:hAnsi="Verdana"/>
          <w:sz w:val="20"/>
          <w:szCs w:val="20"/>
        </w:rPr>
        <w:t>,</w:t>
      </w:r>
      <w:r w:rsidR="00F32FB5" w:rsidRPr="00042F16">
        <w:rPr>
          <w:rFonts w:ascii="Verdana" w:hAnsi="Verdana"/>
          <w:sz w:val="20"/>
          <w:szCs w:val="20"/>
        </w:rPr>
        <w:t>000.</w:t>
      </w:r>
    </w:p>
    <w:p w14:paraId="21FB318A" w14:textId="77777777" w:rsidR="0045405F" w:rsidRPr="00042F16" w:rsidRDefault="0045405F" w:rsidP="005B0625">
      <w:pPr>
        <w:spacing w:after="0" w:line="240" w:lineRule="auto"/>
        <w:rPr>
          <w:rFonts w:ascii="Verdana" w:hAnsi="Verdana"/>
          <w:sz w:val="20"/>
          <w:szCs w:val="20"/>
        </w:rPr>
      </w:pPr>
    </w:p>
    <w:p w14:paraId="375C188C" w14:textId="14383AFD" w:rsidR="007133BD" w:rsidRPr="005B0625" w:rsidRDefault="007133BD" w:rsidP="005B0625">
      <w:pPr>
        <w:pStyle w:val="Heading2"/>
        <w:spacing w:before="0" w:line="240" w:lineRule="auto"/>
        <w:ind w:left="567" w:hanging="567"/>
        <w:rPr>
          <w:rFonts w:ascii="Verdana" w:hAnsi="Verdana"/>
          <w:b/>
          <w:color w:val="6CACE4"/>
          <w:sz w:val="22"/>
          <w:szCs w:val="22"/>
        </w:rPr>
      </w:pPr>
      <w:bookmarkStart w:id="78" w:name="_Toc22716607"/>
      <w:r w:rsidRPr="005B0625">
        <w:rPr>
          <w:rFonts w:ascii="Verdana" w:hAnsi="Verdana"/>
          <w:b/>
          <w:color w:val="6CACE4"/>
          <w:sz w:val="22"/>
          <w:szCs w:val="22"/>
        </w:rPr>
        <w:t>Pricing risk</w:t>
      </w:r>
      <w:bookmarkEnd w:id="78"/>
    </w:p>
    <w:p w14:paraId="655F8A1C" w14:textId="77777777" w:rsidR="005B0625" w:rsidRPr="005B0625" w:rsidRDefault="005B0625" w:rsidP="005B0625">
      <w:pPr>
        <w:spacing w:after="0" w:line="240" w:lineRule="auto"/>
      </w:pPr>
    </w:p>
    <w:p w14:paraId="4C3BBE4C" w14:textId="1E590A9E" w:rsidR="00757E88" w:rsidRPr="00042F16" w:rsidRDefault="00745A42" w:rsidP="005B0625">
      <w:pPr>
        <w:spacing w:after="0" w:line="240" w:lineRule="auto"/>
        <w:rPr>
          <w:rFonts w:ascii="Verdana" w:hAnsi="Verdana"/>
          <w:sz w:val="20"/>
          <w:szCs w:val="20"/>
        </w:rPr>
      </w:pPr>
      <w:r w:rsidRPr="00042F16">
        <w:rPr>
          <w:rFonts w:ascii="Verdana" w:hAnsi="Verdana"/>
          <w:sz w:val="20"/>
          <w:szCs w:val="20"/>
        </w:rPr>
        <w:t>The pricing risk is described as a material misstatement of investment pricing resulting in a loss exposure. This gross risk is major</w:t>
      </w:r>
      <w:r w:rsidR="00761C10" w:rsidRPr="00042F16">
        <w:rPr>
          <w:rFonts w:ascii="Verdana" w:hAnsi="Verdana"/>
          <w:sz w:val="20"/>
          <w:szCs w:val="20"/>
        </w:rPr>
        <w:t xml:space="preserve"> and several mitigating measures</w:t>
      </w:r>
      <w:r w:rsidRPr="00042F16">
        <w:rPr>
          <w:rFonts w:ascii="Verdana" w:hAnsi="Verdana"/>
          <w:sz w:val="20"/>
          <w:szCs w:val="20"/>
        </w:rPr>
        <w:t xml:space="preserve"> are</w:t>
      </w:r>
      <w:r w:rsidR="00761C10" w:rsidRPr="00042F16">
        <w:rPr>
          <w:rFonts w:ascii="Verdana" w:hAnsi="Verdana"/>
          <w:sz w:val="20"/>
          <w:szCs w:val="20"/>
        </w:rPr>
        <w:t xml:space="preserve"> in place</w:t>
      </w:r>
      <w:r w:rsidRPr="00042F16">
        <w:rPr>
          <w:rFonts w:ascii="Verdana" w:hAnsi="Verdana"/>
          <w:sz w:val="20"/>
          <w:szCs w:val="20"/>
        </w:rPr>
        <w:t>:</w:t>
      </w:r>
    </w:p>
    <w:p w14:paraId="5537D7E5" w14:textId="77777777" w:rsidR="00745A42" w:rsidRPr="00042F16" w:rsidRDefault="00745A42" w:rsidP="005B0625">
      <w:pPr>
        <w:pStyle w:val="ListParagraph"/>
        <w:numPr>
          <w:ilvl w:val="0"/>
          <w:numId w:val="20"/>
        </w:numPr>
        <w:spacing w:after="0" w:line="240" w:lineRule="auto"/>
        <w:rPr>
          <w:rFonts w:ascii="Verdana" w:hAnsi="Verdana"/>
          <w:sz w:val="20"/>
          <w:szCs w:val="20"/>
        </w:rPr>
      </w:pPr>
      <w:r w:rsidRPr="00042F16">
        <w:rPr>
          <w:rFonts w:ascii="Verdana" w:hAnsi="Verdana"/>
          <w:sz w:val="20"/>
          <w:szCs w:val="20"/>
        </w:rPr>
        <w:t xml:space="preserve">The asset management policy is to invest client portfolios in shares and bonds. </w:t>
      </w:r>
    </w:p>
    <w:p w14:paraId="08A3C162" w14:textId="7A3EB7DC" w:rsidR="00745A42" w:rsidRPr="00042F16" w:rsidRDefault="00745A42" w:rsidP="005B0625">
      <w:pPr>
        <w:pStyle w:val="ListParagraph"/>
        <w:numPr>
          <w:ilvl w:val="0"/>
          <w:numId w:val="20"/>
        </w:numPr>
        <w:spacing w:after="0" w:line="240" w:lineRule="auto"/>
        <w:rPr>
          <w:rFonts w:ascii="Verdana" w:hAnsi="Verdana"/>
          <w:sz w:val="20"/>
          <w:szCs w:val="20"/>
        </w:rPr>
      </w:pPr>
      <w:r w:rsidRPr="00042F16">
        <w:rPr>
          <w:rFonts w:ascii="Verdana" w:hAnsi="Verdana"/>
          <w:sz w:val="20"/>
          <w:szCs w:val="20"/>
        </w:rPr>
        <w:t xml:space="preserve">There is usually no investment of client portfolios in </w:t>
      </w:r>
      <w:r w:rsidR="00761C10" w:rsidRPr="00042F16">
        <w:rPr>
          <w:rFonts w:ascii="Verdana" w:hAnsi="Verdana"/>
          <w:sz w:val="20"/>
          <w:szCs w:val="20"/>
        </w:rPr>
        <w:t xml:space="preserve">products </w:t>
      </w:r>
      <w:r w:rsidRPr="00042F16">
        <w:rPr>
          <w:rFonts w:ascii="Verdana" w:hAnsi="Verdana"/>
          <w:sz w:val="20"/>
          <w:szCs w:val="20"/>
        </w:rPr>
        <w:t>described as p</w:t>
      </w:r>
      <w:r w:rsidR="00761C10" w:rsidRPr="00042F16">
        <w:rPr>
          <w:rFonts w:ascii="Verdana" w:hAnsi="Verdana"/>
          <w:sz w:val="20"/>
          <w:szCs w:val="20"/>
        </w:rPr>
        <w:t>otentially complex. Such</w:t>
      </w:r>
      <w:r w:rsidRPr="00042F16">
        <w:rPr>
          <w:rFonts w:ascii="Verdana" w:hAnsi="Verdana"/>
          <w:sz w:val="20"/>
          <w:szCs w:val="20"/>
        </w:rPr>
        <w:t xml:space="preserve"> </w:t>
      </w:r>
      <w:r w:rsidR="00761C10" w:rsidRPr="00042F16">
        <w:rPr>
          <w:rFonts w:ascii="Verdana" w:hAnsi="Verdana"/>
          <w:sz w:val="20"/>
          <w:szCs w:val="20"/>
        </w:rPr>
        <w:t xml:space="preserve">investments are </w:t>
      </w:r>
      <w:r w:rsidRPr="00042F16">
        <w:rPr>
          <w:rFonts w:ascii="Verdana" w:hAnsi="Verdana"/>
          <w:sz w:val="20"/>
          <w:szCs w:val="20"/>
        </w:rPr>
        <w:t xml:space="preserve">exceptional and insignificant </w:t>
      </w:r>
      <w:r w:rsidR="00761C10" w:rsidRPr="00042F16">
        <w:rPr>
          <w:rFonts w:ascii="Verdana" w:hAnsi="Verdana"/>
          <w:sz w:val="20"/>
          <w:szCs w:val="20"/>
        </w:rPr>
        <w:t>compared with</w:t>
      </w:r>
      <w:r w:rsidRPr="00042F16">
        <w:rPr>
          <w:rFonts w:ascii="Verdana" w:hAnsi="Verdana"/>
          <w:sz w:val="20"/>
          <w:szCs w:val="20"/>
        </w:rPr>
        <w:t xml:space="preserve"> the level of assets. </w:t>
      </w:r>
    </w:p>
    <w:p w14:paraId="30E16EA9" w14:textId="36FBCFDB" w:rsidR="00761C10" w:rsidRPr="00042F16" w:rsidRDefault="00745A42" w:rsidP="005B0625">
      <w:pPr>
        <w:pStyle w:val="ListParagraph"/>
        <w:numPr>
          <w:ilvl w:val="0"/>
          <w:numId w:val="20"/>
        </w:numPr>
        <w:spacing w:after="0" w:line="240" w:lineRule="auto"/>
        <w:rPr>
          <w:rFonts w:ascii="Verdana" w:hAnsi="Verdana"/>
          <w:sz w:val="20"/>
          <w:szCs w:val="20"/>
        </w:rPr>
      </w:pPr>
      <w:r w:rsidRPr="00042F16">
        <w:rPr>
          <w:rFonts w:ascii="Verdana" w:hAnsi="Verdana"/>
          <w:sz w:val="20"/>
          <w:szCs w:val="20"/>
        </w:rPr>
        <w:t xml:space="preserve">Pricing monitoring on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’s own funds (stale pri</w:t>
      </w:r>
      <w:r w:rsidR="00761C10" w:rsidRPr="00042F16">
        <w:rPr>
          <w:rFonts w:ascii="Verdana" w:hAnsi="Verdana"/>
          <w:sz w:val="20"/>
          <w:szCs w:val="20"/>
        </w:rPr>
        <w:t xml:space="preserve">ce, control of RBC price, </w:t>
      </w:r>
      <w:proofErr w:type="spellStart"/>
      <w:r w:rsidR="00761C10" w:rsidRPr="00042F16">
        <w:rPr>
          <w:rFonts w:ascii="Verdana" w:hAnsi="Verdana"/>
          <w:sz w:val="20"/>
          <w:szCs w:val="20"/>
        </w:rPr>
        <w:t>etc</w:t>
      </w:r>
      <w:proofErr w:type="spellEnd"/>
      <w:r w:rsidR="00761C10" w:rsidRPr="00042F16">
        <w:rPr>
          <w:rFonts w:ascii="Verdana" w:hAnsi="Verdana"/>
          <w:sz w:val="20"/>
          <w:szCs w:val="20"/>
        </w:rPr>
        <w:t xml:space="preserve">). The Back Office regularly monitors the investment-pricing database that is afterwards supervised by the risk management department. </w:t>
      </w:r>
    </w:p>
    <w:p w14:paraId="08C5052B" w14:textId="77777777" w:rsidR="00C92E51" w:rsidRDefault="00C92E51" w:rsidP="005B0625">
      <w:pPr>
        <w:spacing w:after="0" w:line="240" w:lineRule="auto"/>
        <w:rPr>
          <w:rFonts w:ascii="Verdana" w:hAnsi="Verdana"/>
          <w:sz w:val="20"/>
          <w:szCs w:val="20"/>
        </w:rPr>
      </w:pPr>
    </w:p>
    <w:p w14:paraId="0C0BDE5A" w14:textId="395299C2" w:rsidR="00DA78BE" w:rsidRPr="00042F16" w:rsidRDefault="00DA78BE" w:rsidP="005B0625">
      <w:pPr>
        <w:spacing w:after="0" w:line="240" w:lineRule="auto"/>
        <w:rPr>
          <w:rFonts w:ascii="Verdana" w:hAnsi="Verdana"/>
          <w:sz w:val="20"/>
          <w:szCs w:val="20"/>
        </w:rPr>
      </w:pPr>
      <w:r w:rsidRPr="00042F16">
        <w:rPr>
          <w:rFonts w:ascii="Verdana" w:hAnsi="Verdana"/>
          <w:sz w:val="20"/>
          <w:szCs w:val="20"/>
        </w:rPr>
        <w:t>As this risk is not significant, it does not represent a potential risk exposure. Consequently, no capital requirement is allocated.</w:t>
      </w:r>
    </w:p>
    <w:p w14:paraId="15A50927" w14:textId="77777777" w:rsidR="0045405F" w:rsidRPr="00042F16" w:rsidRDefault="0045405F" w:rsidP="005B0625">
      <w:pPr>
        <w:spacing w:after="0" w:line="240" w:lineRule="auto"/>
        <w:rPr>
          <w:rFonts w:ascii="Verdana" w:hAnsi="Verdana"/>
          <w:sz w:val="20"/>
          <w:szCs w:val="20"/>
        </w:rPr>
      </w:pPr>
    </w:p>
    <w:p w14:paraId="39B6A775" w14:textId="2899654E" w:rsidR="007133BD" w:rsidRPr="005B0625" w:rsidRDefault="007133BD" w:rsidP="005B0625">
      <w:pPr>
        <w:pStyle w:val="Heading2"/>
        <w:spacing w:before="0" w:line="240" w:lineRule="auto"/>
        <w:ind w:left="567" w:hanging="567"/>
        <w:rPr>
          <w:rFonts w:ascii="Verdana" w:hAnsi="Verdana"/>
          <w:b/>
          <w:color w:val="6CACE4"/>
          <w:sz w:val="22"/>
          <w:szCs w:val="22"/>
        </w:rPr>
      </w:pPr>
      <w:bookmarkStart w:id="79" w:name="_Toc22716608"/>
      <w:r w:rsidRPr="005B0625">
        <w:rPr>
          <w:rFonts w:ascii="Verdana" w:hAnsi="Verdana"/>
          <w:b/>
          <w:color w:val="6CACE4"/>
          <w:sz w:val="22"/>
          <w:szCs w:val="22"/>
        </w:rPr>
        <w:t>Complex product risk</w:t>
      </w:r>
      <w:bookmarkEnd w:id="79"/>
    </w:p>
    <w:p w14:paraId="1D4249D0" w14:textId="77777777" w:rsidR="005B0625" w:rsidRPr="005B0625" w:rsidRDefault="005B0625" w:rsidP="005B0625">
      <w:pPr>
        <w:spacing w:after="0" w:line="240" w:lineRule="auto"/>
      </w:pPr>
    </w:p>
    <w:p w14:paraId="1FD03422" w14:textId="78E1195E" w:rsidR="004B238E" w:rsidRPr="00042F16" w:rsidRDefault="004B238E" w:rsidP="005B0625">
      <w:pPr>
        <w:spacing w:after="0" w:line="240" w:lineRule="auto"/>
        <w:rPr>
          <w:rFonts w:ascii="Verdana" w:hAnsi="Verdana"/>
          <w:sz w:val="20"/>
          <w:szCs w:val="20"/>
        </w:rPr>
      </w:pPr>
      <w:r w:rsidRPr="00042F16">
        <w:rPr>
          <w:rFonts w:ascii="Verdana" w:hAnsi="Verdana"/>
          <w:sz w:val="20"/>
          <w:szCs w:val="20"/>
        </w:rPr>
        <w:t>The complex product risk can be defined as the Finan</w:t>
      </w:r>
      <w:r w:rsidR="00761C10" w:rsidRPr="00042F16">
        <w:rPr>
          <w:rFonts w:ascii="Verdana" w:hAnsi="Verdana"/>
          <w:sz w:val="20"/>
          <w:szCs w:val="20"/>
        </w:rPr>
        <w:t>cial exposure faced when</w:t>
      </w:r>
      <w:r w:rsidRPr="00042F16">
        <w:rPr>
          <w:rFonts w:ascii="Verdana" w:hAnsi="Verdana"/>
          <w:sz w:val="20"/>
          <w:szCs w:val="20"/>
        </w:rPr>
        <w:t xml:space="preserve"> investing in complex products</w:t>
      </w:r>
      <w:r w:rsidR="00761C10" w:rsidRPr="00042F16">
        <w:rPr>
          <w:rFonts w:ascii="Verdana" w:hAnsi="Verdana"/>
          <w:sz w:val="20"/>
          <w:szCs w:val="20"/>
        </w:rPr>
        <w:t xml:space="preserve"> where</w:t>
      </w:r>
      <w:r w:rsidRPr="00042F16">
        <w:rPr>
          <w:rFonts w:ascii="Verdana" w:hAnsi="Verdana"/>
          <w:sz w:val="20"/>
          <w:szCs w:val="20"/>
        </w:rPr>
        <w:t xml:space="preserve"> </w:t>
      </w:r>
      <w:r w:rsidR="00761C10" w:rsidRPr="00042F16">
        <w:rPr>
          <w:rFonts w:ascii="Verdana" w:hAnsi="Verdana"/>
          <w:sz w:val="20"/>
          <w:szCs w:val="20"/>
        </w:rPr>
        <w:t>the product analysis</w:t>
      </w:r>
      <w:r w:rsidRPr="00042F16">
        <w:rPr>
          <w:rFonts w:ascii="Verdana" w:hAnsi="Verdana"/>
          <w:sz w:val="20"/>
          <w:szCs w:val="20"/>
        </w:rPr>
        <w:t xml:space="preserve"> </w:t>
      </w:r>
      <w:r w:rsidR="00E87994" w:rsidRPr="00042F16">
        <w:rPr>
          <w:rFonts w:ascii="Verdana" w:hAnsi="Verdana"/>
          <w:sz w:val="20"/>
          <w:szCs w:val="20"/>
        </w:rPr>
        <w:t xml:space="preserve">has </w:t>
      </w:r>
      <w:r w:rsidRPr="00042F16">
        <w:rPr>
          <w:rFonts w:ascii="Verdana" w:hAnsi="Verdana"/>
          <w:sz w:val="20"/>
          <w:szCs w:val="20"/>
        </w:rPr>
        <w:t>underestimated the financial exposure to counterparty or underlying assets.</w:t>
      </w:r>
    </w:p>
    <w:p w14:paraId="0963E850" w14:textId="77777777" w:rsidR="00C92E51" w:rsidRDefault="00C92E51" w:rsidP="005B0625">
      <w:pPr>
        <w:spacing w:after="0" w:line="240" w:lineRule="auto"/>
        <w:rPr>
          <w:rFonts w:ascii="Verdana" w:hAnsi="Verdana"/>
          <w:sz w:val="20"/>
          <w:szCs w:val="20"/>
        </w:rPr>
      </w:pPr>
    </w:p>
    <w:p w14:paraId="2997C201" w14:textId="7769AE59" w:rsidR="004B238E" w:rsidRPr="00042F16" w:rsidRDefault="00761C10" w:rsidP="005B0625">
      <w:pPr>
        <w:spacing w:after="0" w:line="240" w:lineRule="auto"/>
        <w:rPr>
          <w:rFonts w:ascii="Verdana" w:hAnsi="Verdana"/>
          <w:sz w:val="20"/>
          <w:szCs w:val="20"/>
        </w:rPr>
      </w:pPr>
      <w:r w:rsidRPr="00042F16">
        <w:rPr>
          <w:rFonts w:ascii="Verdana" w:hAnsi="Verdana"/>
          <w:sz w:val="20"/>
          <w:szCs w:val="20"/>
        </w:rPr>
        <w:t>The major mitigating actions</w:t>
      </w:r>
      <w:r w:rsidR="004B238E" w:rsidRPr="00042F16">
        <w:rPr>
          <w:rFonts w:ascii="Verdana" w:hAnsi="Verdana"/>
          <w:sz w:val="20"/>
          <w:szCs w:val="20"/>
        </w:rPr>
        <w:t xml:space="preserve"> are the following: </w:t>
      </w:r>
    </w:p>
    <w:p w14:paraId="5FB82828" w14:textId="77777777" w:rsidR="00FE1FF3" w:rsidRPr="00042F16" w:rsidRDefault="00FE1FF3" w:rsidP="005B0625">
      <w:pPr>
        <w:pStyle w:val="ListParagraph"/>
        <w:numPr>
          <w:ilvl w:val="0"/>
          <w:numId w:val="21"/>
        </w:numPr>
        <w:spacing w:after="0" w:line="240" w:lineRule="auto"/>
        <w:rPr>
          <w:rFonts w:ascii="Verdana" w:hAnsi="Verdana"/>
          <w:sz w:val="20"/>
          <w:szCs w:val="20"/>
        </w:rPr>
      </w:pPr>
      <w:r w:rsidRPr="00042F16">
        <w:rPr>
          <w:rFonts w:ascii="Verdana" w:hAnsi="Verdana"/>
          <w:sz w:val="20"/>
          <w:szCs w:val="20"/>
        </w:rPr>
        <w:t xml:space="preserve">The asset management policy is to invest client portfolios in shares and bonds. </w:t>
      </w:r>
    </w:p>
    <w:p w14:paraId="36E96E15" w14:textId="77777777" w:rsidR="00FE1FF3" w:rsidRPr="00042F16" w:rsidRDefault="00FE1FF3" w:rsidP="005B0625">
      <w:pPr>
        <w:pStyle w:val="ListParagraph"/>
        <w:numPr>
          <w:ilvl w:val="0"/>
          <w:numId w:val="21"/>
        </w:numPr>
        <w:spacing w:after="0" w:line="240" w:lineRule="auto"/>
        <w:rPr>
          <w:rFonts w:ascii="Verdana" w:hAnsi="Verdana"/>
          <w:sz w:val="20"/>
          <w:szCs w:val="20"/>
        </w:rPr>
      </w:pPr>
      <w:r w:rsidRPr="00042F16">
        <w:rPr>
          <w:rFonts w:ascii="Verdana" w:hAnsi="Verdana"/>
          <w:sz w:val="20"/>
          <w:szCs w:val="20"/>
        </w:rPr>
        <w:t xml:space="preserve">There is usually no investment of client portfolios in products described as potentially complex. Such investments are exceptional and insignificant compared with the level of assets. </w:t>
      </w:r>
    </w:p>
    <w:p w14:paraId="13B1B6AB" w14:textId="2F65A935" w:rsidR="004B238E" w:rsidRPr="00042F16" w:rsidRDefault="00FE1FF3" w:rsidP="005B0625">
      <w:pPr>
        <w:pStyle w:val="ListParagraph"/>
        <w:numPr>
          <w:ilvl w:val="0"/>
          <w:numId w:val="21"/>
        </w:numPr>
        <w:spacing w:after="0" w:line="240" w:lineRule="auto"/>
        <w:rPr>
          <w:rFonts w:ascii="Verdana" w:hAnsi="Verdana"/>
          <w:sz w:val="20"/>
          <w:szCs w:val="20"/>
        </w:rPr>
      </w:pPr>
      <w:r w:rsidRPr="00042F16">
        <w:rPr>
          <w:rFonts w:ascii="Verdana" w:hAnsi="Verdana"/>
          <w:sz w:val="20"/>
          <w:szCs w:val="20"/>
        </w:rPr>
        <w:t>RM department applies ongoing controls of client</w:t>
      </w:r>
      <w:r w:rsidR="00876296" w:rsidRPr="00042F16">
        <w:rPr>
          <w:rFonts w:ascii="Verdana" w:hAnsi="Verdana"/>
          <w:sz w:val="20"/>
          <w:szCs w:val="20"/>
        </w:rPr>
        <w:t>’</w:t>
      </w:r>
      <w:r w:rsidRPr="00042F16">
        <w:rPr>
          <w:rFonts w:ascii="Verdana" w:hAnsi="Verdana"/>
          <w:sz w:val="20"/>
          <w:szCs w:val="20"/>
        </w:rPr>
        <w:t>s investments on</w:t>
      </w:r>
      <w:r w:rsidR="004B238E" w:rsidRPr="00042F16">
        <w:rPr>
          <w:rFonts w:ascii="Verdana" w:hAnsi="Verdana"/>
          <w:sz w:val="20"/>
          <w:szCs w:val="20"/>
        </w:rPr>
        <w:t xml:space="preserve"> accepted securities (Own, Core, </w:t>
      </w:r>
      <w:proofErr w:type="gramStart"/>
      <w:r w:rsidR="004B238E" w:rsidRPr="00042F16">
        <w:rPr>
          <w:rFonts w:ascii="Verdana" w:hAnsi="Verdana"/>
          <w:sz w:val="20"/>
          <w:szCs w:val="20"/>
        </w:rPr>
        <w:t>Lab</w:t>
      </w:r>
      <w:proofErr w:type="gramEnd"/>
      <w:r w:rsidR="004B238E" w:rsidRPr="00042F16">
        <w:rPr>
          <w:rFonts w:ascii="Verdana" w:hAnsi="Verdana"/>
          <w:sz w:val="20"/>
          <w:szCs w:val="20"/>
        </w:rPr>
        <w:t xml:space="preserve">) and bonds (bonds selection). </w:t>
      </w:r>
    </w:p>
    <w:p w14:paraId="62A5C0C3" w14:textId="77777777" w:rsidR="00FE1FF3" w:rsidRPr="00042F16" w:rsidRDefault="00FE1FF3" w:rsidP="005B0625">
      <w:pPr>
        <w:pStyle w:val="ListParagraph"/>
        <w:numPr>
          <w:ilvl w:val="0"/>
          <w:numId w:val="21"/>
        </w:numPr>
        <w:spacing w:after="0" w:line="240" w:lineRule="auto"/>
        <w:rPr>
          <w:rFonts w:ascii="Verdana" w:hAnsi="Verdana"/>
          <w:sz w:val="20"/>
          <w:szCs w:val="20"/>
        </w:rPr>
      </w:pPr>
      <w:r w:rsidRPr="00042F16">
        <w:rPr>
          <w:rFonts w:ascii="Verdana" w:hAnsi="Verdana"/>
          <w:sz w:val="20"/>
          <w:szCs w:val="20"/>
        </w:rPr>
        <w:t>Daily control of the o</w:t>
      </w:r>
      <w:r w:rsidR="004B238E" w:rsidRPr="00042F16">
        <w:rPr>
          <w:rFonts w:ascii="Verdana" w:hAnsi="Verdana"/>
          <w:sz w:val="20"/>
          <w:szCs w:val="20"/>
        </w:rPr>
        <w:t>ptions positions</w:t>
      </w:r>
      <w:r w:rsidRPr="00042F16">
        <w:rPr>
          <w:rFonts w:ascii="Verdana" w:hAnsi="Verdana"/>
          <w:sz w:val="20"/>
          <w:szCs w:val="20"/>
        </w:rPr>
        <w:t xml:space="preserve"> by the RM department. </w:t>
      </w:r>
    </w:p>
    <w:p w14:paraId="58D4068C" w14:textId="77777777" w:rsidR="00C92E51" w:rsidRDefault="00C92E51" w:rsidP="005B0625">
      <w:pPr>
        <w:spacing w:after="0" w:line="240" w:lineRule="auto"/>
        <w:rPr>
          <w:rFonts w:ascii="Verdana" w:hAnsi="Verdana"/>
          <w:sz w:val="20"/>
          <w:szCs w:val="20"/>
        </w:rPr>
      </w:pPr>
    </w:p>
    <w:p w14:paraId="23DEA31A" w14:textId="2EEA03EF" w:rsidR="004B238E" w:rsidRPr="00042F16" w:rsidRDefault="004B238E" w:rsidP="005B0625">
      <w:pPr>
        <w:spacing w:after="0" w:line="240" w:lineRule="auto"/>
        <w:rPr>
          <w:rFonts w:ascii="Verdana" w:hAnsi="Verdana"/>
          <w:sz w:val="20"/>
          <w:szCs w:val="20"/>
        </w:rPr>
      </w:pPr>
      <w:r w:rsidRPr="00042F16">
        <w:rPr>
          <w:rFonts w:ascii="Verdana" w:hAnsi="Verdana"/>
          <w:sz w:val="20"/>
          <w:szCs w:val="20"/>
        </w:rPr>
        <w:t xml:space="preserve">Even though the gross risk is major the monitoring controls enable to have a residual risk that is minor and with a </w:t>
      </w:r>
      <w:r w:rsidR="00490D8E" w:rsidRPr="00042F16">
        <w:rPr>
          <w:rFonts w:ascii="Verdana" w:hAnsi="Verdana"/>
          <w:sz w:val="20"/>
          <w:szCs w:val="20"/>
        </w:rPr>
        <w:t>very low probability of occurrence.</w:t>
      </w:r>
    </w:p>
    <w:p w14:paraId="590C1F9F" w14:textId="77777777" w:rsidR="00C92E51" w:rsidRDefault="00C92E51" w:rsidP="005B0625">
      <w:pPr>
        <w:spacing w:after="0" w:line="240" w:lineRule="auto"/>
        <w:rPr>
          <w:rFonts w:ascii="Verdana" w:hAnsi="Verdana"/>
          <w:sz w:val="20"/>
          <w:szCs w:val="20"/>
        </w:rPr>
      </w:pPr>
    </w:p>
    <w:p w14:paraId="561824AF" w14:textId="6F546C0E" w:rsidR="00DA78BE" w:rsidRPr="00042F16" w:rsidRDefault="00490D8E" w:rsidP="005B0625">
      <w:pPr>
        <w:spacing w:after="0" w:line="240" w:lineRule="auto"/>
        <w:rPr>
          <w:rFonts w:ascii="Verdana" w:hAnsi="Verdana"/>
          <w:sz w:val="20"/>
          <w:szCs w:val="20"/>
        </w:rPr>
      </w:pPr>
      <w:r w:rsidRPr="00042F16">
        <w:rPr>
          <w:rFonts w:ascii="Verdana" w:hAnsi="Verdana"/>
          <w:sz w:val="20"/>
          <w:szCs w:val="20"/>
        </w:rPr>
        <w:t xml:space="preserve">No internal capital requirement has been allocated as the potential risk exposure is not significant. </w:t>
      </w:r>
    </w:p>
    <w:p w14:paraId="4861195D" w14:textId="77777777" w:rsidR="0045405F" w:rsidRPr="00042F16" w:rsidRDefault="0045405F" w:rsidP="005B0625">
      <w:pPr>
        <w:spacing w:after="0" w:line="240" w:lineRule="auto"/>
        <w:rPr>
          <w:rFonts w:ascii="Verdana" w:hAnsi="Verdana"/>
          <w:sz w:val="20"/>
          <w:szCs w:val="20"/>
        </w:rPr>
      </w:pPr>
    </w:p>
    <w:p w14:paraId="42956502" w14:textId="633504C7" w:rsidR="007133BD" w:rsidRPr="005B0625" w:rsidRDefault="007133BD" w:rsidP="005B0625">
      <w:pPr>
        <w:pStyle w:val="Heading2"/>
        <w:spacing w:before="0" w:line="240" w:lineRule="auto"/>
        <w:ind w:left="567" w:hanging="567"/>
        <w:rPr>
          <w:rFonts w:ascii="Verdana" w:hAnsi="Verdana"/>
          <w:b/>
          <w:color w:val="6CACE4"/>
          <w:sz w:val="22"/>
          <w:szCs w:val="22"/>
        </w:rPr>
      </w:pPr>
      <w:bookmarkStart w:id="80" w:name="_Toc22716609"/>
      <w:r w:rsidRPr="005B0625">
        <w:rPr>
          <w:rFonts w:ascii="Verdana" w:hAnsi="Verdana"/>
          <w:b/>
          <w:color w:val="6CACE4"/>
          <w:sz w:val="22"/>
          <w:szCs w:val="22"/>
        </w:rPr>
        <w:t>Asset outflow risk</w:t>
      </w:r>
      <w:bookmarkEnd w:id="80"/>
    </w:p>
    <w:p w14:paraId="77532F95" w14:textId="77777777" w:rsidR="005B0625" w:rsidRPr="005B0625" w:rsidRDefault="005B0625" w:rsidP="005B0625">
      <w:pPr>
        <w:spacing w:after="0" w:line="240" w:lineRule="auto"/>
      </w:pPr>
    </w:p>
    <w:p w14:paraId="1B4C684B" w14:textId="5CA3E485" w:rsidR="0055752E" w:rsidRPr="00042F16" w:rsidRDefault="00FE1FF3" w:rsidP="005B0625">
      <w:pPr>
        <w:spacing w:after="0" w:line="240" w:lineRule="auto"/>
        <w:rPr>
          <w:rFonts w:ascii="Verdana" w:hAnsi="Verdana"/>
          <w:sz w:val="20"/>
          <w:szCs w:val="20"/>
        </w:rPr>
      </w:pPr>
      <w:r w:rsidRPr="00042F16">
        <w:rPr>
          <w:rFonts w:ascii="Verdana" w:hAnsi="Verdana"/>
          <w:sz w:val="20"/>
          <w:szCs w:val="20"/>
        </w:rPr>
        <w:t>The Asset outflow risk happens when</w:t>
      </w:r>
      <w:r w:rsidR="0055752E" w:rsidRPr="00042F16">
        <w:rPr>
          <w:rFonts w:ascii="Verdana" w:hAnsi="Verdana"/>
          <w:sz w:val="20"/>
          <w:szCs w:val="20"/>
        </w:rPr>
        <w:t xml:space="preserve"> client assets outflows exceed inflows. This process </w:t>
      </w:r>
      <w:r w:rsidRPr="00042F16">
        <w:rPr>
          <w:rFonts w:ascii="Verdana" w:hAnsi="Verdana"/>
          <w:sz w:val="20"/>
          <w:szCs w:val="20"/>
        </w:rPr>
        <w:t xml:space="preserve">negatively </w:t>
      </w:r>
      <w:r w:rsidR="0055752E" w:rsidRPr="00042F16">
        <w:rPr>
          <w:rFonts w:ascii="Verdana" w:hAnsi="Verdana"/>
          <w:sz w:val="20"/>
          <w:szCs w:val="20"/>
        </w:rPr>
        <w:t>affects</w:t>
      </w:r>
      <w:r w:rsidRPr="00042F16">
        <w:rPr>
          <w:rFonts w:ascii="Verdana" w:hAnsi="Verdana"/>
          <w:sz w:val="20"/>
          <w:szCs w:val="20"/>
        </w:rPr>
        <w:t xml:space="preserve"> the</w:t>
      </w:r>
      <w:r w:rsidR="0055752E" w:rsidRPr="00042F16">
        <w:rPr>
          <w:rFonts w:ascii="Verdana" w:hAnsi="Verdana"/>
          <w:sz w:val="20"/>
          <w:szCs w:val="20"/>
        </w:rPr>
        <w:t xml:space="preserve"> financial results. </w:t>
      </w:r>
    </w:p>
    <w:p w14:paraId="4125ECC8" w14:textId="77777777" w:rsidR="00C92E51" w:rsidRDefault="00C92E51" w:rsidP="005B0625">
      <w:pPr>
        <w:spacing w:after="0" w:line="240" w:lineRule="auto"/>
        <w:rPr>
          <w:rFonts w:ascii="Verdana" w:hAnsi="Verdana"/>
          <w:sz w:val="20"/>
          <w:szCs w:val="20"/>
        </w:rPr>
      </w:pPr>
    </w:p>
    <w:p w14:paraId="5D49D006" w14:textId="71CD6DFF" w:rsidR="0055752E" w:rsidRPr="00042F16" w:rsidRDefault="00FE1FF3" w:rsidP="005B0625">
      <w:pPr>
        <w:spacing w:after="0" w:line="240" w:lineRule="auto"/>
        <w:rPr>
          <w:rFonts w:ascii="Verdana" w:hAnsi="Verdana"/>
          <w:sz w:val="20"/>
          <w:szCs w:val="20"/>
        </w:rPr>
      </w:pPr>
      <w:r w:rsidRPr="00042F16">
        <w:rPr>
          <w:rFonts w:ascii="Verdana" w:hAnsi="Verdana"/>
          <w:sz w:val="20"/>
          <w:szCs w:val="20"/>
        </w:rPr>
        <w:t>The major mitigating measures</w:t>
      </w:r>
      <w:r w:rsidR="0055752E" w:rsidRPr="00042F16">
        <w:rPr>
          <w:rFonts w:ascii="Verdana" w:hAnsi="Verdana"/>
          <w:sz w:val="20"/>
          <w:szCs w:val="20"/>
        </w:rPr>
        <w:t xml:space="preserve"> are the following: </w:t>
      </w:r>
    </w:p>
    <w:p w14:paraId="73BE5AA8" w14:textId="6E2DB1B2" w:rsidR="0055752E" w:rsidRPr="00042F16" w:rsidRDefault="0055752E" w:rsidP="005B0625">
      <w:pPr>
        <w:pStyle w:val="ListParagraph"/>
        <w:numPr>
          <w:ilvl w:val="0"/>
          <w:numId w:val="25"/>
        </w:numPr>
        <w:spacing w:after="0" w:line="240" w:lineRule="auto"/>
        <w:rPr>
          <w:rFonts w:ascii="Verdana" w:hAnsi="Verdana"/>
          <w:sz w:val="20"/>
          <w:szCs w:val="20"/>
        </w:rPr>
      </w:pPr>
      <w:r w:rsidRPr="00042F16">
        <w:rPr>
          <w:rFonts w:ascii="Verdana" w:hAnsi="Verdana"/>
          <w:sz w:val="20"/>
          <w:szCs w:val="20"/>
        </w:rPr>
        <w:t>The quality of services must be ensured, as well as the complementary services such as Estate Planning</w:t>
      </w:r>
      <w:r w:rsidR="00E87994" w:rsidRPr="00042F16">
        <w:rPr>
          <w:rFonts w:ascii="Verdana" w:hAnsi="Verdana"/>
          <w:sz w:val="20"/>
          <w:szCs w:val="20"/>
        </w:rPr>
        <w:t>;</w:t>
      </w:r>
    </w:p>
    <w:p w14:paraId="68A8CF1F" w14:textId="2BF57860" w:rsidR="0055752E" w:rsidRPr="00042F16" w:rsidRDefault="0055752E" w:rsidP="005B0625">
      <w:pPr>
        <w:pStyle w:val="ListParagraph"/>
        <w:numPr>
          <w:ilvl w:val="0"/>
          <w:numId w:val="25"/>
        </w:numPr>
        <w:spacing w:after="0" w:line="240" w:lineRule="auto"/>
        <w:rPr>
          <w:rFonts w:ascii="Verdana" w:hAnsi="Verdana"/>
          <w:sz w:val="20"/>
          <w:szCs w:val="20"/>
        </w:rPr>
      </w:pPr>
      <w:r w:rsidRPr="00042F16">
        <w:rPr>
          <w:rFonts w:ascii="Verdana" w:hAnsi="Verdana"/>
          <w:sz w:val="20"/>
          <w:szCs w:val="20"/>
        </w:rPr>
        <w:t>Asset</w:t>
      </w:r>
      <w:r w:rsidR="00876296" w:rsidRPr="00042F16">
        <w:rPr>
          <w:rFonts w:ascii="Verdana" w:hAnsi="Verdana"/>
          <w:sz w:val="20"/>
          <w:szCs w:val="20"/>
        </w:rPr>
        <w:t>s</w:t>
      </w:r>
      <w:r w:rsidRPr="00042F16">
        <w:rPr>
          <w:rFonts w:ascii="Verdana" w:hAnsi="Verdana"/>
          <w:sz w:val="20"/>
          <w:szCs w:val="20"/>
        </w:rPr>
        <w:t xml:space="preserve"> must be managed</w:t>
      </w:r>
      <w:r w:rsidR="00E87994" w:rsidRPr="00042F16">
        <w:rPr>
          <w:rFonts w:ascii="Verdana" w:hAnsi="Verdana"/>
          <w:sz w:val="20"/>
          <w:szCs w:val="20"/>
        </w:rPr>
        <w:t xml:space="preserve"> by</w:t>
      </w:r>
      <w:r w:rsidRPr="00042F16">
        <w:rPr>
          <w:rFonts w:ascii="Verdana" w:hAnsi="Verdana"/>
          <w:sz w:val="20"/>
          <w:szCs w:val="20"/>
        </w:rPr>
        <w:t xml:space="preserve"> highly skille</w:t>
      </w:r>
      <w:r w:rsidR="0058252E" w:rsidRPr="00042F16">
        <w:rPr>
          <w:rFonts w:ascii="Verdana" w:hAnsi="Verdana"/>
          <w:sz w:val="20"/>
          <w:szCs w:val="20"/>
        </w:rPr>
        <w:t>d asset m</w:t>
      </w:r>
      <w:r w:rsidRPr="00042F16">
        <w:rPr>
          <w:rFonts w:ascii="Verdana" w:hAnsi="Verdana"/>
          <w:sz w:val="20"/>
          <w:szCs w:val="20"/>
        </w:rPr>
        <w:t>anagers</w:t>
      </w:r>
      <w:r w:rsidR="00E87994" w:rsidRPr="00042F16">
        <w:rPr>
          <w:rFonts w:ascii="Verdana" w:hAnsi="Verdana"/>
          <w:sz w:val="20"/>
          <w:szCs w:val="20"/>
        </w:rPr>
        <w:t>;</w:t>
      </w:r>
    </w:p>
    <w:p w14:paraId="2F1ECE46" w14:textId="57BB466F" w:rsidR="0055752E" w:rsidRPr="00042F16" w:rsidRDefault="0055752E" w:rsidP="005B0625">
      <w:pPr>
        <w:pStyle w:val="ListParagraph"/>
        <w:numPr>
          <w:ilvl w:val="0"/>
          <w:numId w:val="25"/>
        </w:numPr>
        <w:spacing w:after="0" w:line="240" w:lineRule="auto"/>
        <w:rPr>
          <w:rFonts w:ascii="Verdana" w:hAnsi="Verdana"/>
          <w:sz w:val="20"/>
          <w:szCs w:val="20"/>
        </w:rPr>
      </w:pPr>
      <w:r w:rsidRPr="00042F16">
        <w:rPr>
          <w:rFonts w:ascii="Verdana" w:hAnsi="Verdana"/>
          <w:sz w:val="20"/>
          <w:szCs w:val="20"/>
        </w:rPr>
        <w:t>The firm must perfectly know its clients</w:t>
      </w:r>
      <w:r w:rsidR="00E87994" w:rsidRPr="00042F16">
        <w:rPr>
          <w:rFonts w:ascii="Verdana" w:hAnsi="Verdana"/>
          <w:sz w:val="20"/>
          <w:szCs w:val="20"/>
        </w:rPr>
        <w:t>;</w:t>
      </w:r>
    </w:p>
    <w:p w14:paraId="4BDC307D" w14:textId="0317D17F" w:rsidR="0055752E" w:rsidRPr="00042F16" w:rsidRDefault="0055752E" w:rsidP="005B0625">
      <w:pPr>
        <w:pStyle w:val="ListParagraph"/>
        <w:numPr>
          <w:ilvl w:val="0"/>
          <w:numId w:val="25"/>
        </w:numPr>
        <w:spacing w:after="0" w:line="240" w:lineRule="auto"/>
        <w:rPr>
          <w:rFonts w:ascii="Verdana" w:hAnsi="Verdana"/>
          <w:sz w:val="20"/>
          <w:szCs w:val="20"/>
        </w:rPr>
      </w:pPr>
      <w:r w:rsidRPr="00042F16">
        <w:rPr>
          <w:rFonts w:ascii="Verdana" w:hAnsi="Verdana"/>
          <w:sz w:val="20"/>
          <w:szCs w:val="20"/>
        </w:rPr>
        <w:lastRenderedPageBreak/>
        <w:t xml:space="preserve">The firm must </w:t>
      </w:r>
      <w:r w:rsidR="0058252E" w:rsidRPr="00042F16">
        <w:rPr>
          <w:rFonts w:ascii="Verdana" w:hAnsi="Verdana"/>
          <w:sz w:val="20"/>
          <w:szCs w:val="20"/>
        </w:rPr>
        <w:t xml:space="preserve">regularly </w:t>
      </w:r>
      <w:r w:rsidRPr="00042F16">
        <w:rPr>
          <w:rFonts w:ascii="Verdana" w:hAnsi="Verdana"/>
          <w:sz w:val="20"/>
          <w:szCs w:val="20"/>
        </w:rPr>
        <w:t>communicate (on a monthly basis for example) to its clients regarding marketing evolution</w:t>
      </w:r>
      <w:r w:rsidR="00E87994" w:rsidRPr="00042F16">
        <w:rPr>
          <w:rFonts w:ascii="Verdana" w:hAnsi="Verdana"/>
          <w:sz w:val="20"/>
          <w:szCs w:val="20"/>
        </w:rPr>
        <w:t>;</w:t>
      </w:r>
    </w:p>
    <w:p w14:paraId="5D48C553" w14:textId="46089C15" w:rsidR="0055752E" w:rsidRPr="00042F16" w:rsidRDefault="0055752E" w:rsidP="005B0625">
      <w:pPr>
        <w:pStyle w:val="ListParagraph"/>
        <w:numPr>
          <w:ilvl w:val="0"/>
          <w:numId w:val="25"/>
        </w:numPr>
        <w:spacing w:after="0" w:line="240" w:lineRule="auto"/>
        <w:rPr>
          <w:rFonts w:ascii="Verdana" w:hAnsi="Verdana"/>
          <w:sz w:val="20"/>
          <w:szCs w:val="20"/>
        </w:rPr>
      </w:pPr>
      <w:r w:rsidRPr="00042F16">
        <w:rPr>
          <w:rFonts w:ascii="Verdana" w:hAnsi="Verdana"/>
          <w:sz w:val="20"/>
          <w:szCs w:val="20"/>
        </w:rPr>
        <w:t xml:space="preserve">The commercial strategy </w:t>
      </w:r>
      <w:r w:rsidR="00FE1FF3" w:rsidRPr="00042F16">
        <w:rPr>
          <w:rFonts w:ascii="Verdana" w:hAnsi="Verdana"/>
          <w:sz w:val="20"/>
          <w:szCs w:val="20"/>
        </w:rPr>
        <w:t xml:space="preserve">is </w:t>
      </w:r>
      <w:r w:rsidRPr="00042F16">
        <w:rPr>
          <w:rFonts w:ascii="Verdana" w:hAnsi="Verdana"/>
          <w:sz w:val="20"/>
          <w:szCs w:val="20"/>
        </w:rPr>
        <w:t xml:space="preserve">clearly defined. </w:t>
      </w:r>
    </w:p>
    <w:p w14:paraId="66F97C36" w14:textId="77777777" w:rsidR="00C92E51" w:rsidRDefault="00C92E51" w:rsidP="005B0625">
      <w:pPr>
        <w:spacing w:after="0" w:line="240" w:lineRule="auto"/>
        <w:rPr>
          <w:rFonts w:ascii="Verdana" w:hAnsi="Verdana"/>
          <w:sz w:val="20"/>
          <w:szCs w:val="20"/>
        </w:rPr>
      </w:pPr>
    </w:p>
    <w:p w14:paraId="6E887EAA" w14:textId="36679450" w:rsidR="0055752E" w:rsidRPr="00042F16" w:rsidRDefault="0055752E" w:rsidP="005B0625">
      <w:pPr>
        <w:spacing w:after="0" w:line="240" w:lineRule="auto"/>
        <w:rPr>
          <w:rFonts w:ascii="Verdana" w:hAnsi="Verdana"/>
          <w:sz w:val="20"/>
          <w:szCs w:val="20"/>
        </w:rPr>
      </w:pPr>
      <w:r w:rsidRPr="00042F16">
        <w:rPr>
          <w:rFonts w:ascii="Verdana" w:hAnsi="Verdana"/>
          <w:sz w:val="20"/>
          <w:szCs w:val="20"/>
        </w:rPr>
        <w:t>Even though the gross risk is major before the monitoring controls, the residual risk remains significant and an internal capital requirement is allocated to cover an asset outflow risk.</w:t>
      </w:r>
    </w:p>
    <w:p w14:paraId="6592AA52" w14:textId="5B2A66EF" w:rsidR="0055752E" w:rsidRPr="00042F16" w:rsidRDefault="0055752E" w:rsidP="005B0625">
      <w:pPr>
        <w:spacing w:after="0" w:line="240" w:lineRule="auto"/>
        <w:rPr>
          <w:rFonts w:ascii="Verdana" w:hAnsi="Verdana"/>
          <w:sz w:val="20"/>
          <w:szCs w:val="20"/>
        </w:rPr>
      </w:pPr>
      <w:r w:rsidRPr="00042F16">
        <w:rPr>
          <w:rFonts w:ascii="Verdana" w:hAnsi="Verdana"/>
          <w:sz w:val="20"/>
          <w:szCs w:val="20"/>
        </w:rPr>
        <w:t xml:space="preserve">The potential loss on revenue due to an asset outflow risk can be valued at </w:t>
      </w:r>
      <w:r w:rsidR="00C72F32" w:rsidRPr="00042F16">
        <w:rPr>
          <w:rFonts w:ascii="Verdana" w:hAnsi="Verdana"/>
          <w:sz w:val="20"/>
          <w:szCs w:val="20"/>
        </w:rPr>
        <w:t xml:space="preserve">EUR </w:t>
      </w:r>
      <w:r w:rsidR="00AB708E">
        <w:rPr>
          <w:rFonts w:ascii="Verdana" w:hAnsi="Verdana"/>
          <w:sz w:val="20"/>
          <w:szCs w:val="20"/>
        </w:rPr>
        <w:t>1,994,37</w:t>
      </w:r>
      <w:r w:rsidRPr="00042F16">
        <w:rPr>
          <w:rFonts w:ascii="Verdana" w:hAnsi="Verdana"/>
          <w:sz w:val="20"/>
          <w:szCs w:val="20"/>
        </w:rPr>
        <w:t>6. Therefore, a capita</w:t>
      </w:r>
      <w:r w:rsidR="0058252E" w:rsidRPr="00042F16">
        <w:rPr>
          <w:rFonts w:ascii="Verdana" w:hAnsi="Verdana"/>
          <w:sz w:val="20"/>
          <w:szCs w:val="20"/>
        </w:rPr>
        <w:t>l requirement of</w:t>
      </w:r>
      <w:r w:rsidR="00C72F32" w:rsidRPr="00042F16">
        <w:rPr>
          <w:rFonts w:ascii="Verdana" w:hAnsi="Verdana"/>
          <w:sz w:val="20"/>
          <w:szCs w:val="20"/>
        </w:rPr>
        <w:t xml:space="preserve"> EUR</w:t>
      </w:r>
      <w:r w:rsidR="0058252E" w:rsidRPr="00042F16">
        <w:rPr>
          <w:rFonts w:ascii="Verdana" w:hAnsi="Verdana"/>
          <w:sz w:val="20"/>
          <w:szCs w:val="20"/>
        </w:rPr>
        <w:t xml:space="preserve"> 2</w:t>
      </w:r>
      <w:r w:rsidR="00E87994" w:rsidRPr="00042F16">
        <w:rPr>
          <w:rFonts w:ascii="Verdana" w:hAnsi="Verdana"/>
          <w:sz w:val="20"/>
          <w:szCs w:val="20"/>
        </w:rPr>
        <w:t>,</w:t>
      </w:r>
      <w:r w:rsidR="00AB708E">
        <w:rPr>
          <w:rFonts w:ascii="Verdana" w:hAnsi="Verdana"/>
          <w:sz w:val="20"/>
          <w:szCs w:val="20"/>
        </w:rPr>
        <w:t>0</w:t>
      </w:r>
      <w:r w:rsidR="0058252E" w:rsidRPr="00042F16">
        <w:rPr>
          <w:rFonts w:ascii="Verdana" w:hAnsi="Verdana"/>
          <w:sz w:val="20"/>
          <w:szCs w:val="20"/>
        </w:rPr>
        <w:t>00</w:t>
      </w:r>
      <w:r w:rsidR="00E87994" w:rsidRPr="00042F16">
        <w:rPr>
          <w:rFonts w:ascii="Verdana" w:hAnsi="Verdana"/>
          <w:sz w:val="20"/>
          <w:szCs w:val="20"/>
        </w:rPr>
        <w:t>,</w:t>
      </w:r>
      <w:r w:rsidR="0058252E" w:rsidRPr="00042F16">
        <w:rPr>
          <w:rFonts w:ascii="Verdana" w:hAnsi="Verdana"/>
          <w:sz w:val="20"/>
          <w:szCs w:val="20"/>
        </w:rPr>
        <w:t xml:space="preserve">000 </w:t>
      </w:r>
      <w:r w:rsidRPr="00042F16">
        <w:rPr>
          <w:rFonts w:ascii="Verdana" w:hAnsi="Verdana"/>
          <w:sz w:val="20"/>
          <w:szCs w:val="20"/>
        </w:rPr>
        <w:t xml:space="preserve">has been allocated to monitor this risk. </w:t>
      </w:r>
    </w:p>
    <w:p w14:paraId="244B9C94" w14:textId="77777777" w:rsidR="0045405F" w:rsidRPr="00042F16" w:rsidRDefault="0045405F" w:rsidP="005B0625">
      <w:pPr>
        <w:spacing w:after="0" w:line="240" w:lineRule="auto"/>
        <w:rPr>
          <w:rFonts w:ascii="Verdana" w:hAnsi="Verdana"/>
          <w:sz w:val="20"/>
          <w:szCs w:val="20"/>
        </w:rPr>
      </w:pPr>
    </w:p>
    <w:p w14:paraId="7F887947" w14:textId="658ACC93" w:rsidR="007133BD" w:rsidRPr="005B0625" w:rsidRDefault="007133BD" w:rsidP="005B0625">
      <w:pPr>
        <w:pStyle w:val="Heading2"/>
        <w:spacing w:before="0" w:line="240" w:lineRule="auto"/>
        <w:ind w:left="567" w:hanging="567"/>
        <w:rPr>
          <w:rFonts w:ascii="Verdana" w:hAnsi="Verdana"/>
          <w:b/>
          <w:color w:val="6CACE4"/>
          <w:sz w:val="22"/>
          <w:szCs w:val="22"/>
        </w:rPr>
      </w:pPr>
      <w:bookmarkStart w:id="81" w:name="_Toc22716610"/>
      <w:r w:rsidRPr="005B0625">
        <w:rPr>
          <w:rFonts w:ascii="Verdana" w:hAnsi="Verdana"/>
          <w:b/>
          <w:color w:val="6CACE4"/>
          <w:sz w:val="22"/>
          <w:szCs w:val="22"/>
        </w:rPr>
        <w:t>Compliance risk</w:t>
      </w:r>
      <w:bookmarkEnd w:id="81"/>
    </w:p>
    <w:p w14:paraId="4D554EE8" w14:textId="77777777" w:rsidR="005B0625" w:rsidRPr="005B0625" w:rsidRDefault="005B0625" w:rsidP="005B0625">
      <w:pPr>
        <w:spacing w:after="0" w:line="240" w:lineRule="auto"/>
      </w:pPr>
    </w:p>
    <w:p w14:paraId="3477208A" w14:textId="1A9D8D91" w:rsidR="0055752E" w:rsidRPr="00042F16" w:rsidRDefault="0055752E" w:rsidP="005B0625">
      <w:pPr>
        <w:spacing w:after="0" w:line="240" w:lineRule="auto"/>
        <w:rPr>
          <w:rFonts w:ascii="Verdana" w:hAnsi="Verdana"/>
          <w:sz w:val="20"/>
          <w:szCs w:val="20"/>
        </w:rPr>
      </w:pPr>
      <w:r w:rsidRPr="00042F16">
        <w:rPr>
          <w:rFonts w:ascii="Verdana" w:hAnsi="Verdana"/>
          <w:sz w:val="20"/>
          <w:szCs w:val="20"/>
        </w:rPr>
        <w:t xml:space="preserve">The compliance risk can be characterised as the impairment of </w:t>
      </w:r>
      <w:r w:rsidR="00DF0FC6" w:rsidRPr="00042F16">
        <w:rPr>
          <w:rFonts w:ascii="Verdana" w:hAnsi="Verdana"/>
          <w:sz w:val="20"/>
          <w:szCs w:val="20"/>
        </w:rPr>
        <w:t>t</w:t>
      </w:r>
      <w:r w:rsidRPr="00042F16">
        <w:rPr>
          <w:rFonts w:ascii="Verdana" w:hAnsi="Verdana"/>
          <w:sz w:val="20"/>
          <w:szCs w:val="20"/>
        </w:rPr>
        <w:t xml:space="preserve">he </w:t>
      </w:r>
      <w:r w:rsidR="00876296" w:rsidRPr="00042F16">
        <w:rPr>
          <w:rFonts w:ascii="Verdana" w:hAnsi="Verdana"/>
          <w:sz w:val="20"/>
          <w:szCs w:val="20"/>
        </w:rPr>
        <w:t>C</w:t>
      </w:r>
      <w:r w:rsidRPr="00042F16">
        <w:rPr>
          <w:rFonts w:ascii="Verdana" w:hAnsi="Verdana"/>
          <w:sz w:val="20"/>
          <w:szCs w:val="20"/>
        </w:rPr>
        <w:t>ompany</w:t>
      </w:r>
      <w:r w:rsidR="00876296" w:rsidRPr="00042F16">
        <w:rPr>
          <w:rFonts w:ascii="Verdana" w:hAnsi="Verdana"/>
          <w:sz w:val="20"/>
          <w:szCs w:val="20"/>
        </w:rPr>
        <w:t>’s</w:t>
      </w:r>
      <w:r w:rsidRPr="00042F16">
        <w:rPr>
          <w:rFonts w:ascii="Verdana" w:hAnsi="Verdana"/>
          <w:sz w:val="20"/>
          <w:szCs w:val="20"/>
        </w:rPr>
        <w:t xml:space="preserve"> integrity</w:t>
      </w:r>
      <w:r w:rsidR="00876296" w:rsidRPr="00042F16">
        <w:rPr>
          <w:rFonts w:ascii="Verdana" w:hAnsi="Verdana"/>
          <w:sz w:val="20"/>
          <w:szCs w:val="20"/>
        </w:rPr>
        <w:t>,</w:t>
      </w:r>
      <w:r w:rsidRPr="00042F16">
        <w:rPr>
          <w:rFonts w:ascii="Verdana" w:hAnsi="Verdana"/>
          <w:sz w:val="20"/>
          <w:szCs w:val="20"/>
        </w:rPr>
        <w:t xml:space="preserve"> leading to the damage of its reputation, to legal or regulatory sanctions or financial loss as a failure to comply with applicable agreements, laws and rules. </w:t>
      </w:r>
    </w:p>
    <w:p w14:paraId="0C1F0F5E" w14:textId="77777777" w:rsidR="00C92E51" w:rsidRDefault="00C92E51" w:rsidP="005B0625">
      <w:pPr>
        <w:spacing w:after="0" w:line="240" w:lineRule="auto"/>
        <w:rPr>
          <w:rFonts w:ascii="Verdana" w:hAnsi="Verdana"/>
          <w:sz w:val="20"/>
          <w:szCs w:val="20"/>
        </w:rPr>
      </w:pPr>
    </w:p>
    <w:p w14:paraId="59280C9F" w14:textId="5D8F56AD" w:rsidR="0055752E" w:rsidRPr="00042F16" w:rsidRDefault="0055752E" w:rsidP="005B0625">
      <w:pPr>
        <w:spacing w:after="0" w:line="240" w:lineRule="auto"/>
        <w:rPr>
          <w:rFonts w:ascii="Verdana" w:hAnsi="Verdana"/>
          <w:sz w:val="20"/>
          <w:szCs w:val="20"/>
        </w:rPr>
      </w:pPr>
      <w:r w:rsidRPr="00042F16">
        <w:rPr>
          <w:rFonts w:ascii="Verdana" w:hAnsi="Verdana"/>
          <w:sz w:val="20"/>
          <w:szCs w:val="20"/>
        </w:rPr>
        <w:t xml:space="preserve">The major </w:t>
      </w:r>
      <w:r w:rsidR="00FE1FF3" w:rsidRPr="00042F16">
        <w:rPr>
          <w:rFonts w:ascii="Verdana" w:hAnsi="Verdana"/>
          <w:sz w:val="20"/>
          <w:szCs w:val="20"/>
        </w:rPr>
        <w:t>mitigating measures</w:t>
      </w:r>
      <w:r w:rsidRPr="00042F16">
        <w:rPr>
          <w:rFonts w:ascii="Verdana" w:hAnsi="Verdana"/>
          <w:sz w:val="20"/>
          <w:szCs w:val="20"/>
        </w:rPr>
        <w:t xml:space="preserve"> are the following: </w:t>
      </w:r>
    </w:p>
    <w:p w14:paraId="70791C55" w14:textId="77777777" w:rsidR="0055752E" w:rsidRPr="00042F16" w:rsidRDefault="0055752E" w:rsidP="005B0625">
      <w:pPr>
        <w:pStyle w:val="ListParagraph"/>
        <w:numPr>
          <w:ilvl w:val="0"/>
          <w:numId w:val="39"/>
        </w:numPr>
        <w:spacing w:after="0" w:line="240" w:lineRule="auto"/>
        <w:ind w:left="426" w:hanging="426"/>
        <w:rPr>
          <w:rFonts w:ascii="Verdana" w:hAnsi="Verdana"/>
          <w:sz w:val="20"/>
          <w:szCs w:val="20"/>
        </w:rPr>
      </w:pPr>
      <w:r w:rsidRPr="00042F16">
        <w:rPr>
          <w:rFonts w:ascii="Verdana" w:hAnsi="Verdana"/>
          <w:sz w:val="20"/>
          <w:szCs w:val="20"/>
        </w:rPr>
        <w:t xml:space="preserve">At a global level: </w:t>
      </w:r>
    </w:p>
    <w:p w14:paraId="7140CA48" w14:textId="0886C8C3" w:rsidR="0055752E" w:rsidRPr="00042F16" w:rsidRDefault="009E039E" w:rsidP="005B0625">
      <w:pPr>
        <w:pStyle w:val="ListParagraph"/>
        <w:numPr>
          <w:ilvl w:val="0"/>
          <w:numId w:val="26"/>
        </w:numPr>
        <w:spacing w:after="0" w:line="240" w:lineRule="auto"/>
        <w:rPr>
          <w:rFonts w:ascii="Verdana" w:hAnsi="Verdana"/>
          <w:sz w:val="20"/>
          <w:szCs w:val="20"/>
        </w:rPr>
      </w:pPr>
      <w:r w:rsidRPr="00042F16">
        <w:rPr>
          <w:rFonts w:ascii="Verdana" w:hAnsi="Verdana"/>
          <w:sz w:val="20"/>
          <w:szCs w:val="20"/>
        </w:rPr>
        <w:t>The Company</w:t>
      </w:r>
      <w:r w:rsidR="0055752E" w:rsidRPr="00042F16">
        <w:rPr>
          <w:rFonts w:ascii="Verdana" w:hAnsi="Verdana"/>
          <w:sz w:val="20"/>
          <w:szCs w:val="20"/>
        </w:rPr>
        <w:t xml:space="preserve"> hires and retains experienced compliance officers in place </w:t>
      </w:r>
    </w:p>
    <w:p w14:paraId="5D9D3174" w14:textId="73980D59" w:rsidR="0055752E" w:rsidRPr="00042F16" w:rsidRDefault="0055752E" w:rsidP="005B0625">
      <w:pPr>
        <w:pStyle w:val="ListParagraph"/>
        <w:numPr>
          <w:ilvl w:val="0"/>
          <w:numId w:val="26"/>
        </w:numPr>
        <w:spacing w:after="0" w:line="240" w:lineRule="auto"/>
        <w:rPr>
          <w:rFonts w:ascii="Verdana" w:hAnsi="Verdana"/>
          <w:sz w:val="20"/>
          <w:szCs w:val="20"/>
        </w:rPr>
      </w:pPr>
      <w:r w:rsidRPr="00042F16">
        <w:rPr>
          <w:rFonts w:ascii="Verdana" w:hAnsi="Verdana"/>
          <w:sz w:val="20"/>
          <w:szCs w:val="20"/>
        </w:rPr>
        <w:t xml:space="preserve">The </w:t>
      </w:r>
      <w:r w:rsidR="009E039E" w:rsidRPr="00042F16">
        <w:rPr>
          <w:rFonts w:ascii="Verdana" w:hAnsi="Verdana"/>
          <w:sz w:val="20"/>
          <w:szCs w:val="20"/>
        </w:rPr>
        <w:t>Company</w:t>
      </w:r>
      <w:r w:rsidRPr="00042F16">
        <w:rPr>
          <w:rFonts w:ascii="Verdana" w:hAnsi="Verdana"/>
          <w:sz w:val="20"/>
          <w:szCs w:val="20"/>
        </w:rPr>
        <w:t xml:space="preserve"> builds a risk adverse corporate culture </w:t>
      </w:r>
    </w:p>
    <w:p w14:paraId="727F0E5F" w14:textId="1CBF73E6" w:rsidR="0055752E" w:rsidRPr="00042F16" w:rsidRDefault="009E039E" w:rsidP="005B0625">
      <w:pPr>
        <w:pStyle w:val="ListParagraph"/>
        <w:numPr>
          <w:ilvl w:val="0"/>
          <w:numId w:val="26"/>
        </w:numPr>
        <w:spacing w:after="0" w:line="240" w:lineRule="auto"/>
        <w:rPr>
          <w:rFonts w:ascii="Verdana" w:hAnsi="Verdana"/>
          <w:sz w:val="20"/>
          <w:szCs w:val="20"/>
        </w:rPr>
      </w:pPr>
      <w:r w:rsidRPr="00042F16">
        <w:rPr>
          <w:rFonts w:ascii="Verdana" w:hAnsi="Verdana"/>
          <w:sz w:val="20"/>
          <w:szCs w:val="20"/>
        </w:rPr>
        <w:t>The Company p</w:t>
      </w:r>
      <w:r w:rsidR="0055752E" w:rsidRPr="00042F16">
        <w:rPr>
          <w:rFonts w:ascii="Verdana" w:hAnsi="Verdana"/>
          <w:sz w:val="20"/>
          <w:szCs w:val="20"/>
        </w:rPr>
        <w:t>erform</w:t>
      </w:r>
      <w:r w:rsidRPr="00042F16">
        <w:rPr>
          <w:rFonts w:ascii="Verdana" w:hAnsi="Verdana"/>
          <w:sz w:val="20"/>
          <w:szCs w:val="20"/>
        </w:rPr>
        <w:t>s</w:t>
      </w:r>
      <w:r w:rsidR="0055752E" w:rsidRPr="00042F16">
        <w:rPr>
          <w:rFonts w:ascii="Verdana" w:hAnsi="Verdana"/>
          <w:sz w:val="20"/>
          <w:szCs w:val="20"/>
        </w:rPr>
        <w:t xml:space="preserve"> internal audit reviews to indicate an overall satisfactory situation </w:t>
      </w:r>
    </w:p>
    <w:p w14:paraId="0F574D8C" w14:textId="697F1249" w:rsidR="0055752E" w:rsidRPr="00042F16" w:rsidRDefault="009E039E" w:rsidP="005B0625">
      <w:pPr>
        <w:pStyle w:val="ListParagraph"/>
        <w:numPr>
          <w:ilvl w:val="0"/>
          <w:numId w:val="26"/>
        </w:numPr>
        <w:spacing w:after="0" w:line="240" w:lineRule="auto"/>
        <w:rPr>
          <w:rFonts w:ascii="Verdana" w:hAnsi="Verdana"/>
          <w:sz w:val="20"/>
          <w:szCs w:val="20"/>
        </w:rPr>
      </w:pPr>
      <w:r w:rsidRPr="00042F16">
        <w:rPr>
          <w:rFonts w:ascii="Verdana" w:hAnsi="Verdana"/>
          <w:sz w:val="20"/>
          <w:szCs w:val="20"/>
        </w:rPr>
        <w:t xml:space="preserve">The Company </w:t>
      </w:r>
      <w:r w:rsidR="0055752E" w:rsidRPr="00042F16">
        <w:rPr>
          <w:rFonts w:ascii="Verdana" w:hAnsi="Verdana"/>
          <w:sz w:val="20"/>
          <w:szCs w:val="20"/>
        </w:rPr>
        <w:t>invest</w:t>
      </w:r>
      <w:r w:rsidRPr="00042F16">
        <w:rPr>
          <w:rFonts w:ascii="Verdana" w:hAnsi="Verdana"/>
          <w:sz w:val="20"/>
          <w:szCs w:val="20"/>
        </w:rPr>
        <w:t>s</w:t>
      </w:r>
      <w:r w:rsidR="0055752E" w:rsidRPr="00042F16">
        <w:rPr>
          <w:rFonts w:ascii="Verdana" w:hAnsi="Verdana"/>
          <w:sz w:val="20"/>
          <w:szCs w:val="20"/>
        </w:rPr>
        <w:t xml:space="preserve"> in IT tools including different control facilities related to clients and funds.</w:t>
      </w:r>
    </w:p>
    <w:p w14:paraId="5CA9EE81" w14:textId="77777777" w:rsidR="00876296" w:rsidRPr="00042F16" w:rsidRDefault="00876296" w:rsidP="005B0625">
      <w:pPr>
        <w:pStyle w:val="ListParagraph"/>
        <w:spacing w:after="0" w:line="240" w:lineRule="auto"/>
        <w:ind w:left="426"/>
        <w:rPr>
          <w:rFonts w:ascii="Verdana" w:hAnsi="Verdana"/>
          <w:sz w:val="20"/>
          <w:szCs w:val="20"/>
        </w:rPr>
      </w:pPr>
    </w:p>
    <w:p w14:paraId="2346B13A" w14:textId="77777777" w:rsidR="0055752E" w:rsidRPr="00042F16" w:rsidRDefault="0055752E" w:rsidP="005B0625">
      <w:pPr>
        <w:pStyle w:val="ListParagraph"/>
        <w:numPr>
          <w:ilvl w:val="0"/>
          <w:numId w:val="39"/>
        </w:numPr>
        <w:spacing w:after="0" w:line="240" w:lineRule="auto"/>
        <w:ind w:left="426" w:hanging="426"/>
        <w:rPr>
          <w:rFonts w:ascii="Verdana" w:hAnsi="Verdana"/>
          <w:sz w:val="20"/>
          <w:szCs w:val="20"/>
        </w:rPr>
      </w:pPr>
      <w:r w:rsidRPr="00042F16">
        <w:rPr>
          <w:rFonts w:ascii="Verdana" w:hAnsi="Verdana"/>
          <w:sz w:val="20"/>
          <w:szCs w:val="20"/>
        </w:rPr>
        <w:t xml:space="preserve">Regarding Money Laundering and Investor protection: </w:t>
      </w:r>
    </w:p>
    <w:p w14:paraId="6A09CED7" w14:textId="47109921" w:rsidR="0055752E" w:rsidRPr="00042F16" w:rsidRDefault="009E039E" w:rsidP="005B0625">
      <w:pPr>
        <w:pStyle w:val="ListParagraph"/>
        <w:numPr>
          <w:ilvl w:val="0"/>
          <w:numId w:val="27"/>
        </w:numPr>
        <w:spacing w:after="0" w:line="240" w:lineRule="auto"/>
        <w:rPr>
          <w:rFonts w:ascii="Verdana" w:hAnsi="Verdana"/>
          <w:sz w:val="20"/>
          <w:szCs w:val="20"/>
        </w:rPr>
      </w:pPr>
      <w:r w:rsidRPr="00042F16">
        <w:rPr>
          <w:rFonts w:ascii="Verdana" w:hAnsi="Verdana"/>
          <w:sz w:val="20"/>
          <w:szCs w:val="20"/>
        </w:rPr>
        <w:t>The client base is</w:t>
      </w:r>
      <w:r w:rsidR="0055752E" w:rsidRPr="00042F16">
        <w:rPr>
          <w:rFonts w:ascii="Verdana" w:hAnsi="Verdana"/>
          <w:sz w:val="20"/>
          <w:szCs w:val="20"/>
        </w:rPr>
        <w:t xml:space="preserve"> limited to Luxembourg and Belgium residents </w:t>
      </w:r>
    </w:p>
    <w:p w14:paraId="155106F8" w14:textId="7CBCD57F" w:rsidR="0055752E" w:rsidRPr="00042F16" w:rsidRDefault="0055752E" w:rsidP="005B0625">
      <w:pPr>
        <w:pStyle w:val="ListParagraph"/>
        <w:numPr>
          <w:ilvl w:val="0"/>
          <w:numId w:val="27"/>
        </w:numPr>
        <w:spacing w:after="0" w:line="240" w:lineRule="auto"/>
        <w:rPr>
          <w:rFonts w:ascii="Verdana" w:hAnsi="Verdana"/>
          <w:sz w:val="20"/>
          <w:szCs w:val="20"/>
        </w:rPr>
      </w:pPr>
      <w:r w:rsidRPr="00042F16">
        <w:rPr>
          <w:rFonts w:ascii="Verdana" w:hAnsi="Verdana"/>
          <w:sz w:val="20"/>
          <w:szCs w:val="20"/>
        </w:rPr>
        <w:t>The c</w:t>
      </w:r>
      <w:r w:rsidR="009E039E" w:rsidRPr="00042F16">
        <w:rPr>
          <w:rFonts w:ascii="Verdana" w:hAnsi="Verdana"/>
          <w:sz w:val="20"/>
          <w:szCs w:val="20"/>
        </w:rPr>
        <w:t>lient acceptance process is</w:t>
      </w:r>
      <w:r w:rsidRPr="00042F16">
        <w:rPr>
          <w:rFonts w:ascii="Verdana" w:hAnsi="Verdana"/>
          <w:sz w:val="20"/>
          <w:szCs w:val="20"/>
        </w:rPr>
        <w:t xml:space="preserve"> prudent, with a detailed compliance-monitoring plan. </w:t>
      </w:r>
    </w:p>
    <w:p w14:paraId="60850B0B" w14:textId="1E5D6EB3" w:rsidR="0055752E" w:rsidRPr="00042F16" w:rsidRDefault="0055752E" w:rsidP="005B0625">
      <w:pPr>
        <w:pStyle w:val="ListParagraph"/>
        <w:numPr>
          <w:ilvl w:val="0"/>
          <w:numId w:val="27"/>
        </w:numPr>
        <w:spacing w:after="0" w:line="240" w:lineRule="auto"/>
        <w:rPr>
          <w:rFonts w:ascii="Verdana" w:hAnsi="Verdana"/>
          <w:sz w:val="20"/>
          <w:szCs w:val="20"/>
        </w:rPr>
      </w:pPr>
      <w:r w:rsidRPr="00042F16">
        <w:rPr>
          <w:rFonts w:ascii="Verdana" w:hAnsi="Verdana"/>
          <w:sz w:val="20"/>
          <w:szCs w:val="20"/>
        </w:rPr>
        <w:t xml:space="preserve">Since client knowledge is extremely important, some factors enable its enhancement, such as the geographical proximity and the limited </w:t>
      </w:r>
      <w:r w:rsidR="0058252E" w:rsidRPr="00042F16">
        <w:rPr>
          <w:rFonts w:ascii="Verdana" w:hAnsi="Verdana"/>
          <w:sz w:val="20"/>
          <w:szCs w:val="20"/>
        </w:rPr>
        <w:t>number of clients. This allows c</w:t>
      </w:r>
      <w:r w:rsidRPr="00042F16">
        <w:rPr>
          <w:rFonts w:ascii="Verdana" w:hAnsi="Verdana"/>
          <w:sz w:val="20"/>
          <w:szCs w:val="20"/>
        </w:rPr>
        <w:t xml:space="preserve">lient relationship managers to increase their efficiency. </w:t>
      </w:r>
    </w:p>
    <w:p w14:paraId="51D28135" w14:textId="77777777" w:rsidR="00876296" w:rsidRPr="00042F16" w:rsidRDefault="00876296" w:rsidP="005B0625">
      <w:pPr>
        <w:pStyle w:val="ListParagraph"/>
        <w:spacing w:after="0" w:line="240" w:lineRule="auto"/>
        <w:rPr>
          <w:rFonts w:ascii="Verdana" w:hAnsi="Verdana"/>
          <w:sz w:val="20"/>
          <w:szCs w:val="20"/>
        </w:rPr>
      </w:pPr>
    </w:p>
    <w:p w14:paraId="6B05929D" w14:textId="77777777" w:rsidR="0055752E" w:rsidRPr="00042F16" w:rsidRDefault="0055752E" w:rsidP="005B0625">
      <w:pPr>
        <w:pStyle w:val="ListParagraph"/>
        <w:numPr>
          <w:ilvl w:val="0"/>
          <w:numId w:val="39"/>
        </w:numPr>
        <w:spacing w:after="0" w:line="240" w:lineRule="auto"/>
        <w:ind w:left="426" w:hanging="426"/>
        <w:rPr>
          <w:rFonts w:ascii="Verdana" w:hAnsi="Verdana"/>
          <w:sz w:val="20"/>
          <w:szCs w:val="20"/>
        </w:rPr>
      </w:pPr>
      <w:r w:rsidRPr="00042F16">
        <w:rPr>
          <w:rFonts w:ascii="Verdana" w:hAnsi="Verdana"/>
          <w:sz w:val="20"/>
          <w:szCs w:val="20"/>
        </w:rPr>
        <w:t xml:space="preserve">Regarding Fraud, Ethics, Market Abuse and Governance: </w:t>
      </w:r>
    </w:p>
    <w:p w14:paraId="4FD68745" w14:textId="060EFB09" w:rsidR="0055752E" w:rsidRPr="00042F16" w:rsidRDefault="009E039E" w:rsidP="005B0625">
      <w:pPr>
        <w:pStyle w:val="ListParagraph"/>
        <w:numPr>
          <w:ilvl w:val="0"/>
          <w:numId w:val="28"/>
        </w:numPr>
        <w:spacing w:after="0" w:line="240" w:lineRule="auto"/>
        <w:rPr>
          <w:rFonts w:ascii="Verdana" w:hAnsi="Verdana"/>
          <w:sz w:val="20"/>
          <w:szCs w:val="20"/>
        </w:rPr>
      </w:pPr>
      <w:r w:rsidRPr="00042F16">
        <w:rPr>
          <w:rFonts w:ascii="Verdana" w:hAnsi="Verdana"/>
          <w:sz w:val="20"/>
          <w:szCs w:val="20"/>
        </w:rPr>
        <w:t>The Company</w:t>
      </w:r>
      <w:r w:rsidR="0055752E" w:rsidRPr="00042F16">
        <w:rPr>
          <w:rFonts w:ascii="Verdana" w:hAnsi="Verdana"/>
          <w:sz w:val="20"/>
          <w:szCs w:val="20"/>
        </w:rPr>
        <w:t xml:space="preserve"> raise</w:t>
      </w:r>
      <w:r w:rsidRPr="00042F16">
        <w:rPr>
          <w:rFonts w:ascii="Verdana" w:hAnsi="Verdana"/>
          <w:sz w:val="20"/>
          <w:szCs w:val="20"/>
        </w:rPr>
        <w:t>s</w:t>
      </w:r>
      <w:r w:rsidR="0055752E" w:rsidRPr="00042F16">
        <w:rPr>
          <w:rFonts w:ascii="Verdana" w:hAnsi="Verdana"/>
          <w:sz w:val="20"/>
          <w:szCs w:val="20"/>
        </w:rPr>
        <w:t xml:space="preserve"> awareness through training</w:t>
      </w:r>
      <w:r w:rsidR="005524D8" w:rsidRPr="00042F16">
        <w:rPr>
          <w:rFonts w:ascii="Verdana" w:hAnsi="Verdana"/>
          <w:sz w:val="20"/>
          <w:szCs w:val="20"/>
        </w:rPr>
        <w:t>s</w:t>
      </w:r>
      <w:r w:rsidR="0055752E" w:rsidRPr="00042F16">
        <w:rPr>
          <w:rFonts w:ascii="Verdana" w:hAnsi="Verdana"/>
          <w:sz w:val="20"/>
          <w:szCs w:val="20"/>
        </w:rPr>
        <w:t>, code o</w:t>
      </w:r>
      <w:r w:rsidR="00276277" w:rsidRPr="00042F16">
        <w:rPr>
          <w:rFonts w:ascii="Verdana" w:hAnsi="Verdana"/>
          <w:sz w:val="20"/>
          <w:szCs w:val="20"/>
        </w:rPr>
        <w:t>f conduct, procedures, logical and</w:t>
      </w:r>
      <w:r w:rsidR="0055752E" w:rsidRPr="00042F16">
        <w:rPr>
          <w:rFonts w:ascii="Verdana" w:hAnsi="Verdana"/>
          <w:sz w:val="20"/>
          <w:szCs w:val="20"/>
        </w:rPr>
        <w:t xml:space="preserve"> physical access restr</w:t>
      </w:r>
      <w:r w:rsidR="00276277" w:rsidRPr="00042F16">
        <w:rPr>
          <w:rFonts w:ascii="Verdana" w:hAnsi="Verdana"/>
          <w:sz w:val="20"/>
          <w:szCs w:val="20"/>
        </w:rPr>
        <w:t>ictions, segregation of duties,</w:t>
      </w:r>
      <w:r w:rsidR="0055752E" w:rsidRPr="00042F16">
        <w:rPr>
          <w:rFonts w:ascii="Verdana" w:hAnsi="Verdana"/>
          <w:sz w:val="20"/>
          <w:szCs w:val="20"/>
        </w:rPr>
        <w:t xml:space="preserve"> four eyes principles, authorized signatures, confli</w:t>
      </w:r>
      <w:r w:rsidR="00276277" w:rsidRPr="00042F16">
        <w:rPr>
          <w:rFonts w:ascii="Verdana" w:hAnsi="Verdana"/>
          <w:sz w:val="20"/>
          <w:szCs w:val="20"/>
        </w:rPr>
        <w:t>ct of interest policy, mapping and</w:t>
      </w:r>
      <w:r w:rsidR="0055752E" w:rsidRPr="00042F16">
        <w:rPr>
          <w:rFonts w:ascii="Verdana" w:hAnsi="Verdana"/>
          <w:sz w:val="20"/>
          <w:szCs w:val="20"/>
        </w:rPr>
        <w:t xml:space="preserve"> register. </w:t>
      </w:r>
    </w:p>
    <w:p w14:paraId="7410542E" w14:textId="14D97858" w:rsidR="0055752E" w:rsidRDefault="0055752E" w:rsidP="005B0625">
      <w:pPr>
        <w:pStyle w:val="ListParagraph"/>
        <w:numPr>
          <w:ilvl w:val="0"/>
          <w:numId w:val="28"/>
        </w:numPr>
        <w:spacing w:after="0" w:line="240" w:lineRule="auto"/>
        <w:rPr>
          <w:rFonts w:ascii="Verdana" w:hAnsi="Verdana"/>
          <w:sz w:val="20"/>
          <w:szCs w:val="20"/>
        </w:rPr>
      </w:pPr>
      <w:r w:rsidRPr="00042F16">
        <w:rPr>
          <w:rFonts w:ascii="Verdana" w:hAnsi="Verdana"/>
          <w:sz w:val="20"/>
          <w:szCs w:val="20"/>
        </w:rPr>
        <w:t xml:space="preserve">The </w:t>
      </w:r>
      <w:r w:rsidR="009E039E" w:rsidRPr="00042F16">
        <w:rPr>
          <w:rFonts w:ascii="Verdana" w:hAnsi="Verdana"/>
          <w:sz w:val="20"/>
          <w:szCs w:val="20"/>
        </w:rPr>
        <w:t xml:space="preserve">Company </w:t>
      </w:r>
      <w:r w:rsidRPr="00042F16">
        <w:rPr>
          <w:rFonts w:ascii="Verdana" w:hAnsi="Verdana"/>
          <w:sz w:val="20"/>
          <w:szCs w:val="20"/>
        </w:rPr>
        <w:t>monitor</w:t>
      </w:r>
      <w:r w:rsidR="009E039E" w:rsidRPr="00042F16">
        <w:rPr>
          <w:rFonts w:ascii="Verdana" w:hAnsi="Verdana"/>
          <w:sz w:val="20"/>
          <w:szCs w:val="20"/>
        </w:rPr>
        <w:t>s</w:t>
      </w:r>
      <w:r w:rsidRPr="00042F16">
        <w:rPr>
          <w:rFonts w:ascii="Verdana" w:hAnsi="Verdana"/>
          <w:sz w:val="20"/>
          <w:szCs w:val="20"/>
        </w:rPr>
        <w:t xml:space="preserve"> book reconciliation report, log reports on errors, small size of the company. </w:t>
      </w:r>
    </w:p>
    <w:p w14:paraId="2FDC5F60" w14:textId="4513E9AE" w:rsidR="00934729" w:rsidRPr="0065464B" w:rsidRDefault="00934729" w:rsidP="00934729">
      <w:pPr>
        <w:pStyle w:val="ListParagraph"/>
        <w:numPr>
          <w:ilvl w:val="0"/>
          <w:numId w:val="28"/>
        </w:numPr>
        <w:rPr>
          <w:rFonts w:ascii="Verdana" w:hAnsi="Verdana"/>
          <w:sz w:val="20"/>
          <w:szCs w:val="20"/>
        </w:rPr>
      </w:pPr>
      <w:r w:rsidRPr="0065464B">
        <w:rPr>
          <w:rFonts w:ascii="Verdana" w:hAnsi="Verdana"/>
          <w:sz w:val="20"/>
          <w:szCs w:val="20"/>
        </w:rPr>
        <w:t xml:space="preserve">The Company notify the staff to identify external mandates, gifts received, personal transactions undertaken and </w:t>
      </w:r>
      <w:r>
        <w:rPr>
          <w:rFonts w:ascii="Verdana" w:hAnsi="Verdana"/>
          <w:sz w:val="20"/>
          <w:szCs w:val="20"/>
        </w:rPr>
        <w:t>insiders’</w:t>
      </w:r>
      <w:r w:rsidRPr="0065464B">
        <w:rPr>
          <w:rFonts w:ascii="Verdana" w:hAnsi="Verdana"/>
          <w:sz w:val="20"/>
          <w:szCs w:val="20"/>
        </w:rPr>
        <w:t xml:space="preserve"> situation in order to prevent or mitigate the risks of conflicts of interests.</w:t>
      </w:r>
    </w:p>
    <w:p w14:paraId="14AF9B10" w14:textId="39D1D1E0" w:rsidR="00934729" w:rsidRPr="00934729" w:rsidRDefault="00934729" w:rsidP="00934729">
      <w:pPr>
        <w:pStyle w:val="ListParagraph"/>
        <w:numPr>
          <w:ilvl w:val="0"/>
          <w:numId w:val="28"/>
        </w:numPr>
        <w:rPr>
          <w:rFonts w:ascii="Verdana" w:hAnsi="Verdana"/>
          <w:sz w:val="20"/>
          <w:szCs w:val="20"/>
        </w:rPr>
      </w:pPr>
      <w:r w:rsidRPr="0065464B">
        <w:rPr>
          <w:rFonts w:ascii="Verdana" w:hAnsi="Verdana"/>
          <w:sz w:val="20"/>
          <w:szCs w:val="20"/>
        </w:rPr>
        <w:t>The company improves regularly its governance framework with dedica</w:t>
      </w:r>
      <w:r>
        <w:rPr>
          <w:rFonts w:ascii="Verdana" w:hAnsi="Verdana"/>
          <w:sz w:val="20"/>
          <w:szCs w:val="20"/>
        </w:rPr>
        <w:t>ted and high-level trainings of</w:t>
      </w:r>
      <w:r w:rsidRPr="0065464B">
        <w:rPr>
          <w:rFonts w:ascii="Verdana" w:hAnsi="Verdana"/>
          <w:sz w:val="20"/>
          <w:szCs w:val="20"/>
        </w:rPr>
        <w:t xml:space="preserve"> Board members as well as yearly “fit &amp; proper” assessment.</w:t>
      </w:r>
    </w:p>
    <w:p w14:paraId="7CDFFBE7" w14:textId="77777777" w:rsidR="00934729" w:rsidRDefault="00934729" w:rsidP="005B0625">
      <w:pPr>
        <w:spacing w:after="0" w:line="240" w:lineRule="auto"/>
        <w:rPr>
          <w:rFonts w:ascii="Verdana" w:hAnsi="Verdana"/>
          <w:sz w:val="20"/>
          <w:szCs w:val="20"/>
        </w:rPr>
      </w:pPr>
    </w:p>
    <w:p w14:paraId="317A5B0E" w14:textId="3F4DA368" w:rsidR="0055752E" w:rsidRPr="00042F16" w:rsidRDefault="0055752E" w:rsidP="005B0625">
      <w:pPr>
        <w:spacing w:after="0" w:line="240" w:lineRule="auto"/>
        <w:rPr>
          <w:rFonts w:ascii="Verdana" w:hAnsi="Verdana"/>
          <w:sz w:val="20"/>
          <w:szCs w:val="20"/>
        </w:rPr>
      </w:pPr>
      <w:r w:rsidRPr="00042F16">
        <w:rPr>
          <w:rFonts w:ascii="Verdana" w:hAnsi="Verdana"/>
          <w:sz w:val="20"/>
          <w:szCs w:val="20"/>
        </w:rPr>
        <w:t xml:space="preserve">Even though the gross risk is </w:t>
      </w:r>
      <w:r w:rsidR="0058252E" w:rsidRPr="00042F16">
        <w:rPr>
          <w:rFonts w:ascii="Verdana" w:hAnsi="Verdana"/>
          <w:sz w:val="20"/>
          <w:szCs w:val="20"/>
        </w:rPr>
        <w:t>major,</w:t>
      </w:r>
      <w:r w:rsidRPr="00042F16">
        <w:rPr>
          <w:rFonts w:ascii="Verdana" w:hAnsi="Verdana"/>
          <w:sz w:val="20"/>
          <w:szCs w:val="20"/>
        </w:rPr>
        <w:t xml:space="preserve"> the monitoring controls enable</w:t>
      </w:r>
      <w:r w:rsidR="009E039E" w:rsidRPr="00042F16">
        <w:rPr>
          <w:rFonts w:ascii="Verdana" w:hAnsi="Verdana"/>
          <w:sz w:val="20"/>
          <w:szCs w:val="20"/>
        </w:rPr>
        <w:t xml:space="preserve"> to have a moderate residual risk.</w:t>
      </w:r>
    </w:p>
    <w:p w14:paraId="1250CA9C" w14:textId="77777777" w:rsidR="00C92E51" w:rsidRDefault="00C92E51" w:rsidP="005B0625">
      <w:pPr>
        <w:spacing w:after="0" w:line="240" w:lineRule="auto"/>
        <w:rPr>
          <w:rFonts w:ascii="Verdana" w:hAnsi="Verdana"/>
          <w:sz w:val="20"/>
          <w:szCs w:val="20"/>
        </w:rPr>
      </w:pPr>
    </w:p>
    <w:p w14:paraId="2FA20E4E" w14:textId="33A26695" w:rsidR="0055752E" w:rsidRPr="00042F16" w:rsidRDefault="0055752E" w:rsidP="005B0625">
      <w:pPr>
        <w:spacing w:after="0" w:line="240" w:lineRule="auto"/>
        <w:rPr>
          <w:rFonts w:ascii="Verdana" w:hAnsi="Verdana"/>
          <w:sz w:val="20"/>
          <w:szCs w:val="20"/>
        </w:rPr>
      </w:pPr>
      <w:r w:rsidRPr="00042F16">
        <w:rPr>
          <w:rFonts w:ascii="Verdana" w:hAnsi="Verdana"/>
          <w:sz w:val="20"/>
          <w:szCs w:val="20"/>
        </w:rPr>
        <w:t>The average income per client corresponds to ap</w:t>
      </w:r>
      <w:r w:rsidR="00AB708E">
        <w:rPr>
          <w:rFonts w:ascii="Verdana" w:hAnsi="Verdana"/>
          <w:sz w:val="20"/>
          <w:szCs w:val="20"/>
        </w:rPr>
        <w:t>proximately 0.96</w:t>
      </w:r>
      <w:r w:rsidR="00276277" w:rsidRPr="00042F16">
        <w:rPr>
          <w:rFonts w:ascii="Verdana" w:hAnsi="Verdana"/>
          <w:sz w:val="20"/>
          <w:szCs w:val="20"/>
        </w:rPr>
        <w:t>% of the total asset</w:t>
      </w:r>
      <w:r w:rsidR="000F2D4C" w:rsidRPr="00042F16">
        <w:rPr>
          <w:rFonts w:ascii="Verdana" w:hAnsi="Verdana"/>
          <w:sz w:val="20"/>
          <w:szCs w:val="20"/>
        </w:rPr>
        <w:t>s</w:t>
      </w:r>
      <w:r w:rsidR="00276277" w:rsidRPr="00042F16">
        <w:rPr>
          <w:rFonts w:ascii="Verdana" w:hAnsi="Verdana"/>
          <w:sz w:val="20"/>
          <w:szCs w:val="20"/>
        </w:rPr>
        <w:t xml:space="preserve"> under m</w:t>
      </w:r>
      <w:r w:rsidRPr="00042F16">
        <w:rPr>
          <w:rFonts w:ascii="Verdana" w:hAnsi="Verdana"/>
          <w:sz w:val="20"/>
          <w:szCs w:val="20"/>
        </w:rPr>
        <w:t>anagement. In that way, a capital r</w:t>
      </w:r>
      <w:r w:rsidR="00276277" w:rsidRPr="00042F16">
        <w:rPr>
          <w:rFonts w:ascii="Verdana" w:hAnsi="Verdana"/>
          <w:sz w:val="20"/>
          <w:szCs w:val="20"/>
        </w:rPr>
        <w:t xml:space="preserve">equirement of </w:t>
      </w:r>
      <w:r w:rsidR="00C72F32" w:rsidRPr="00042F16">
        <w:rPr>
          <w:rFonts w:ascii="Verdana" w:hAnsi="Verdana"/>
          <w:sz w:val="20"/>
          <w:szCs w:val="20"/>
        </w:rPr>
        <w:t xml:space="preserve">EUR </w:t>
      </w:r>
      <w:r w:rsidR="00AB708E">
        <w:rPr>
          <w:rFonts w:ascii="Verdana" w:hAnsi="Verdana"/>
          <w:sz w:val="20"/>
          <w:szCs w:val="20"/>
        </w:rPr>
        <w:t>5,2</w:t>
      </w:r>
      <w:r w:rsidR="00276277" w:rsidRPr="00042F16">
        <w:rPr>
          <w:rFonts w:ascii="Verdana" w:hAnsi="Verdana"/>
          <w:sz w:val="20"/>
          <w:szCs w:val="20"/>
        </w:rPr>
        <w:t xml:space="preserve">00,000 </w:t>
      </w:r>
      <w:r w:rsidRPr="00042F16">
        <w:rPr>
          <w:rFonts w:ascii="Verdana" w:hAnsi="Verdana"/>
          <w:sz w:val="20"/>
          <w:szCs w:val="20"/>
        </w:rPr>
        <w:t>has been allocated to monitor this risk. This am</w:t>
      </w:r>
      <w:r w:rsidR="00276277" w:rsidRPr="00042F16">
        <w:rPr>
          <w:rFonts w:ascii="Verdana" w:hAnsi="Verdana"/>
          <w:sz w:val="20"/>
          <w:szCs w:val="20"/>
        </w:rPr>
        <w:t>ount of money corresponds to</w:t>
      </w:r>
      <w:r w:rsidRPr="00042F16">
        <w:rPr>
          <w:rFonts w:ascii="Verdana" w:hAnsi="Verdana"/>
          <w:sz w:val="20"/>
          <w:szCs w:val="20"/>
        </w:rPr>
        <w:t xml:space="preserve"> half of the average income by client. </w:t>
      </w:r>
    </w:p>
    <w:p w14:paraId="03C2A0E0" w14:textId="77777777" w:rsidR="0045405F" w:rsidRPr="00042F16" w:rsidRDefault="0045405F" w:rsidP="005B0625">
      <w:pPr>
        <w:spacing w:after="0" w:line="240" w:lineRule="auto"/>
        <w:rPr>
          <w:rFonts w:ascii="Verdana" w:hAnsi="Verdana"/>
          <w:sz w:val="20"/>
          <w:szCs w:val="20"/>
        </w:rPr>
      </w:pPr>
    </w:p>
    <w:p w14:paraId="245DBF63" w14:textId="44B505FE" w:rsidR="007133BD" w:rsidRPr="005B0625" w:rsidRDefault="007133BD" w:rsidP="005B0625">
      <w:pPr>
        <w:pStyle w:val="Heading2"/>
        <w:spacing w:before="0" w:line="240" w:lineRule="auto"/>
        <w:ind w:left="567" w:hanging="567"/>
        <w:rPr>
          <w:rFonts w:ascii="Verdana" w:hAnsi="Verdana"/>
          <w:b/>
          <w:color w:val="6CACE4"/>
          <w:sz w:val="22"/>
          <w:szCs w:val="22"/>
        </w:rPr>
      </w:pPr>
      <w:bookmarkStart w:id="82" w:name="_Toc22716611"/>
      <w:r w:rsidRPr="005B0625">
        <w:rPr>
          <w:rFonts w:ascii="Verdana" w:hAnsi="Verdana"/>
          <w:b/>
          <w:color w:val="6CACE4"/>
          <w:sz w:val="22"/>
          <w:szCs w:val="22"/>
        </w:rPr>
        <w:lastRenderedPageBreak/>
        <w:t>Legal risk</w:t>
      </w:r>
      <w:bookmarkEnd w:id="82"/>
    </w:p>
    <w:p w14:paraId="5CC0FAB6" w14:textId="77777777" w:rsidR="005B0625" w:rsidRPr="005B0625" w:rsidRDefault="005B0625" w:rsidP="005B0625">
      <w:pPr>
        <w:spacing w:after="0" w:line="240" w:lineRule="auto"/>
      </w:pPr>
    </w:p>
    <w:p w14:paraId="72850757" w14:textId="123BA8EA" w:rsidR="009E039E" w:rsidRPr="00042F16" w:rsidRDefault="009E039E" w:rsidP="005B0625">
      <w:pPr>
        <w:spacing w:after="0" w:line="240" w:lineRule="auto"/>
        <w:rPr>
          <w:rFonts w:ascii="Verdana" w:hAnsi="Verdana"/>
          <w:sz w:val="20"/>
          <w:szCs w:val="20"/>
        </w:rPr>
      </w:pPr>
      <w:r w:rsidRPr="00042F16">
        <w:rPr>
          <w:rFonts w:ascii="Verdana" w:hAnsi="Verdana"/>
          <w:sz w:val="20"/>
          <w:szCs w:val="20"/>
        </w:rPr>
        <w:t xml:space="preserve">The legal risk is defined as being the risk that an error in terms of interpretation of an agreement engaging </w:t>
      </w:r>
      <w:r w:rsidR="00DF0FC6" w:rsidRPr="00042F16">
        <w:rPr>
          <w:rFonts w:ascii="Verdana" w:hAnsi="Verdana"/>
          <w:sz w:val="20"/>
          <w:szCs w:val="20"/>
        </w:rPr>
        <w:t>t</w:t>
      </w:r>
      <w:r w:rsidRPr="00042F16">
        <w:rPr>
          <w:rFonts w:ascii="Verdana" w:hAnsi="Verdana"/>
          <w:sz w:val="20"/>
          <w:szCs w:val="20"/>
        </w:rPr>
        <w:t>he Company generates financial lo</w:t>
      </w:r>
      <w:r w:rsidR="005524D8" w:rsidRPr="00042F16">
        <w:rPr>
          <w:rFonts w:ascii="Verdana" w:hAnsi="Verdana"/>
          <w:sz w:val="20"/>
          <w:szCs w:val="20"/>
        </w:rPr>
        <w:t>s</w:t>
      </w:r>
      <w:r w:rsidRPr="00042F16">
        <w:rPr>
          <w:rFonts w:ascii="Verdana" w:hAnsi="Verdana"/>
          <w:sz w:val="20"/>
          <w:szCs w:val="20"/>
        </w:rPr>
        <w:t xml:space="preserve">ses or an unexpected increase of the commitment of </w:t>
      </w:r>
      <w:r w:rsidR="00DF0FC6" w:rsidRPr="00042F16">
        <w:rPr>
          <w:rFonts w:ascii="Verdana" w:hAnsi="Verdana"/>
          <w:sz w:val="20"/>
          <w:szCs w:val="20"/>
        </w:rPr>
        <w:t>t</w:t>
      </w:r>
      <w:r w:rsidRPr="00042F16">
        <w:rPr>
          <w:rFonts w:ascii="Verdana" w:hAnsi="Verdana"/>
          <w:sz w:val="20"/>
          <w:szCs w:val="20"/>
        </w:rPr>
        <w:t xml:space="preserve">he Company as well as any legal exposure of </w:t>
      </w:r>
      <w:r w:rsidR="00DF0FC6" w:rsidRPr="00042F16">
        <w:rPr>
          <w:rFonts w:ascii="Verdana" w:hAnsi="Verdana"/>
          <w:sz w:val="20"/>
          <w:szCs w:val="20"/>
        </w:rPr>
        <w:t>t</w:t>
      </w:r>
      <w:r w:rsidRPr="00042F16">
        <w:rPr>
          <w:rFonts w:ascii="Verdana" w:hAnsi="Verdana"/>
          <w:sz w:val="20"/>
          <w:szCs w:val="20"/>
        </w:rPr>
        <w:t xml:space="preserve">he Company. </w:t>
      </w:r>
    </w:p>
    <w:p w14:paraId="6A2CFCF5" w14:textId="77777777" w:rsidR="00C92E51" w:rsidRDefault="00C92E51" w:rsidP="005B0625">
      <w:pPr>
        <w:spacing w:after="0" w:line="240" w:lineRule="auto"/>
        <w:rPr>
          <w:rFonts w:ascii="Verdana" w:hAnsi="Verdana"/>
          <w:sz w:val="20"/>
          <w:szCs w:val="20"/>
        </w:rPr>
      </w:pPr>
    </w:p>
    <w:p w14:paraId="2B581227" w14:textId="62A0406D" w:rsidR="009E039E" w:rsidRPr="00042F16" w:rsidRDefault="00276277" w:rsidP="005B0625">
      <w:pPr>
        <w:spacing w:after="0" w:line="240" w:lineRule="auto"/>
        <w:rPr>
          <w:rFonts w:ascii="Verdana" w:hAnsi="Verdana"/>
          <w:sz w:val="20"/>
          <w:szCs w:val="20"/>
        </w:rPr>
      </w:pPr>
      <w:r w:rsidRPr="00042F16">
        <w:rPr>
          <w:rFonts w:ascii="Verdana" w:hAnsi="Verdana"/>
          <w:sz w:val="20"/>
          <w:szCs w:val="20"/>
        </w:rPr>
        <w:t>The m</w:t>
      </w:r>
      <w:r w:rsidR="00FE1FF3" w:rsidRPr="00042F16">
        <w:rPr>
          <w:rFonts w:ascii="Verdana" w:hAnsi="Verdana"/>
          <w:sz w:val="20"/>
          <w:szCs w:val="20"/>
        </w:rPr>
        <w:t>ajor mitigating measures</w:t>
      </w:r>
      <w:r w:rsidR="009E039E" w:rsidRPr="00042F16">
        <w:rPr>
          <w:rFonts w:ascii="Verdana" w:hAnsi="Verdana"/>
          <w:sz w:val="20"/>
          <w:szCs w:val="20"/>
        </w:rPr>
        <w:t xml:space="preserve"> are the following: </w:t>
      </w:r>
    </w:p>
    <w:p w14:paraId="6CBD36E9" w14:textId="03DE30E9" w:rsidR="009E039E" w:rsidRPr="00042F16" w:rsidRDefault="009E039E" w:rsidP="005B0625">
      <w:pPr>
        <w:pStyle w:val="ListParagraph"/>
        <w:numPr>
          <w:ilvl w:val="0"/>
          <w:numId w:val="29"/>
        </w:numPr>
        <w:spacing w:after="0" w:line="240" w:lineRule="auto"/>
        <w:rPr>
          <w:rFonts w:ascii="Verdana" w:hAnsi="Verdana"/>
          <w:sz w:val="20"/>
          <w:szCs w:val="20"/>
        </w:rPr>
      </w:pPr>
      <w:r w:rsidRPr="00042F16">
        <w:rPr>
          <w:rFonts w:ascii="Verdana" w:hAnsi="Verdana"/>
          <w:sz w:val="20"/>
          <w:szCs w:val="20"/>
        </w:rPr>
        <w:t xml:space="preserve">The Company ensures a legal support from Foyer’s group legal department </w:t>
      </w:r>
    </w:p>
    <w:p w14:paraId="31F07332" w14:textId="461FD445" w:rsidR="009E039E" w:rsidRPr="00042F16" w:rsidRDefault="009E039E" w:rsidP="005B0625">
      <w:pPr>
        <w:pStyle w:val="ListParagraph"/>
        <w:numPr>
          <w:ilvl w:val="0"/>
          <w:numId w:val="29"/>
        </w:numPr>
        <w:spacing w:after="0" w:line="240" w:lineRule="auto"/>
        <w:rPr>
          <w:rFonts w:ascii="Verdana" w:hAnsi="Verdana"/>
          <w:sz w:val="20"/>
          <w:szCs w:val="20"/>
        </w:rPr>
      </w:pPr>
      <w:r w:rsidRPr="00042F16">
        <w:rPr>
          <w:rFonts w:ascii="Verdana" w:hAnsi="Verdana"/>
          <w:sz w:val="20"/>
          <w:szCs w:val="20"/>
        </w:rPr>
        <w:t xml:space="preserve">When necessary,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consults lawyers to obtain their validation or legal opinion </w:t>
      </w:r>
    </w:p>
    <w:p w14:paraId="7A276997" w14:textId="0576DDCD" w:rsidR="009E039E" w:rsidRPr="00042F16" w:rsidRDefault="00276277" w:rsidP="005B0625">
      <w:pPr>
        <w:pStyle w:val="ListParagraph"/>
        <w:numPr>
          <w:ilvl w:val="0"/>
          <w:numId w:val="29"/>
        </w:numPr>
        <w:spacing w:after="0" w:line="240" w:lineRule="auto"/>
        <w:rPr>
          <w:rFonts w:ascii="Verdana" w:hAnsi="Verdana"/>
          <w:sz w:val="20"/>
          <w:szCs w:val="20"/>
        </w:rPr>
      </w:pPr>
      <w:r w:rsidRPr="00042F16">
        <w:rPr>
          <w:rFonts w:ascii="Verdana" w:hAnsi="Verdana"/>
          <w:sz w:val="20"/>
          <w:szCs w:val="20"/>
        </w:rPr>
        <w:t>The firm is</w:t>
      </w:r>
      <w:r w:rsidR="009E039E" w:rsidRPr="00042F16">
        <w:rPr>
          <w:rFonts w:ascii="Verdana" w:hAnsi="Verdana"/>
          <w:sz w:val="20"/>
          <w:szCs w:val="20"/>
        </w:rPr>
        <w:t xml:space="preserve"> subscribe</w:t>
      </w:r>
      <w:r w:rsidRPr="00042F16">
        <w:rPr>
          <w:rFonts w:ascii="Verdana" w:hAnsi="Verdana"/>
          <w:sz w:val="20"/>
          <w:szCs w:val="20"/>
        </w:rPr>
        <w:t>d</w:t>
      </w:r>
      <w:r w:rsidR="009E039E" w:rsidRPr="00042F16">
        <w:rPr>
          <w:rFonts w:ascii="Verdana" w:hAnsi="Verdana"/>
          <w:sz w:val="20"/>
          <w:szCs w:val="20"/>
        </w:rPr>
        <w:t xml:space="preserve"> to an insurance that covers professional risks</w:t>
      </w:r>
    </w:p>
    <w:p w14:paraId="5AF13D96" w14:textId="77777777" w:rsidR="00C92E51" w:rsidRDefault="00C92E51" w:rsidP="005B0625">
      <w:pPr>
        <w:spacing w:after="0" w:line="240" w:lineRule="auto"/>
        <w:rPr>
          <w:rFonts w:ascii="Verdana" w:hAnsi="Verdana"/>
          <w:sz w:val="20"/>
          <w:szCs w:val="20"/>
        </w:rPr>
      </w:pPr>
    </w:p>
    <w:p w14:paraId="550AB92B" w14:textId="3CB6248F" w:rsidR="009E039E" w:rsidRPr="00042F16" w:rsidRDefault="009E039E" w:rsidP="005B0625">
      <w:pPr>
        <w:spacing w:after="0" w:line="240" w:lineRule="auto"/>
        <w:rPr>
          <w:rFonts w:ascii="Verdana" w:hAnsi="Verdana"/>
          <w:sz w:val="20"/>
          <w:szCs w:val="20"/>
        </w:rPr>
      </w:pPr>
      <w:r w:rsidRPr="00042F16">
        <w:rPr>
          <w:rFonts w:ascii="Verdana" w:hAnsi="Verdana"/>
          <w:sz w:val="20"/>
          <w:szCs w:val="20"/>
        </w:rPr>
        <w:t xml:space="preserve">Even though the gross risk is major, the monitoring controls enable to have a </w:t>
      </w:r>
      <w:r w:rsidR="00F32FB5" w:rsidRPr="00042F16">
        <w:rPr>
          <w:rFonts w:ascii="Verdana" w:hAnsi="Verdana"/>
          <w:sz w:val="20"/>
          <w:szCs w:val="20"/>
        </w:rPr>
        <w:t>moderate residual risk.</w:t>
      </w:r>
    </w:p>
    <w:p w14:paraId="73D4839F" w14:textId="77777777" w:rsidR="00C92E51" w:rsidRDefault="00C92E51" w:rsidP="005B0625">
      <w:pPr>
        <w:spacing w:after="0" w:line="240" w:lineRule="auto"/>
        <w:rPr>
          <w:rFonts w:ascii="Verdana" w:hAnsi="Verdana"/>
          <w:sz w:val="20"/>
          <w:szCs w:val="20"/>
        </w:rPr>
      </w:pPr>
    </w:p>
    <w:p w14:paraId="6FB3A887" w14:textId="1EAA4E29" w:rsidR="009E039E" w:rsidRPr="00042F16" w:rsidRDefault="0060275C" w:rsidP="005B0625">
      <w:pPr>
        <w:spacing w:after="0" w:line="240" w:lineRule="auto"/>
        <w:rPr>
          <w:rFonts w:ascii="Verdana" w:hAnsi="Verdana"/>
          <w:sz w:val="20"/>
          <w:szCs w:val="20"/>
        </w:rPr>
      </w:pPr>
      <w:r>
        <w:rPr>
          <w:rFonts w:ascii="Verdana" w:hAnsi="Verdana"/>
          <w:sz w:val="20"/>
          <w:szCs w:val="20"/>
        </w:rPr>
        <w:t>In 2019</w:t>
      </w:r>
      <w:r w:rsidR="00AB708E">
        <w:rPr>
          <w:rFonts w:ascii="Verdana" w:hAnsi="Verdana"/>
          <w:sz w:val="20"/>
          <w:szCs w:val="20"/>
        </w:rPr>
        <w:t xml:space="preserve">, no claim </w:t>
      </w:r>
      <w:r w:rsidR="00F32FB5" w:rsidRPr="00042F16">
        <w:rPr>
          <w:rFonts w:ascii="Verdana" w:hAnsi="Verdana"/>
          <w:sz w:val="20"/>
          <w:szCs w:val="20"/>
        </w:rPr>
        <w:t>remained</w:t>
      </w:r>
      <w:r w:rsidR="009E039E" w:rsidRPr="00042F16">
        <w:rPr>
          <w:rFonts w:ascii="Verdana" w:hAnsi="Verdana"/>
          <w:sz w:val="20"/>
          <w:szCs w:val="20"/>
        </w:rPr>
        <w:t xml:space="preserve"> and risks are covered by an insurance with a deductible of</w:t>
      </w:r>
      <w:r w:rsidR="00F32FB5" w:rsidRPr="00042F16">
        <w:rPr>
          <w:rFonts w:ascii="Verdana" w:hAnsi="Verdana"/>
          <w:sz w:val="20"/>
          <w:szCs w:val="20"/>
        </w:rPr>
        <w:t xml:space="preserve"> </w:t>
      </w:r>
      <w:r w:rsidR="00C72F32" w:rsidRPr="00042F16">
        <w:rPr>
          <w:rFonts w:ascii="Verdana" w:hAnsi="Verdana"/>
          <w:sz w:val="20"/>
          <w:szCs w:val="20"/>
        </w:rPr>
        <w:t xml:space="preserve">EUR </w:t>
      </w:r>
      <w:r w:rsidR="00F32FB5" w:rsidRPr="00042F16">
        <w:rPr>
          <w:rFonts w:ascii="Verdana" w:hAnsi="Verdana"/>
          <w:sz w:val="20"/>
          <w:szCs w:val="20"/>
        </w:rPr>
        <w:t>250</w:t>
      </w:r>
      <w:r w:rsidR="00262CB1" w:rsidRPr="00042F16">
        <w:rPr>
          <w:rFonts w:ascii="Verdana" w:hAnsi="Verdana"/>
          <w:sz w:val="20"/>
          <w:szCs w:val="20"/>
        </w:rPr>
        <w:t>,</w:t>
      </w:r>
      <w:r w:rsidR="00F32FB5" w:rsidRPr="00042F16">
        <w:rPr>
          <w:rFonts w:ascii="Verdana" w:hAnsi="Verdana"/>
          <w:sz w:val="20"/>
          <w:szCs w:val="20"/>
        </w:rPr>
        <w:t>000. Therefore,</w:t>
      </w:r>
      <w:r w:rsidR="009E039E" w:rsidRPr="00042F16">
        <w:rPr>
          <w:rFonts w:ascii="Verdana" w:hAnsi="Verdana"/>
          <w:sz w:val="20"/>
          <w:szCs w:val="20"/>
        </w:rPr>
        <w:t xml:space="preserve"> 100% of th</w:t>
      </w:r>
      <w:r w:rsidR="00F32FB5" w:rsidRPr="00042F16">
        <w:rPr>
          <w:rFonts w:ascii="Verdana" w:hAnsi="Verdana"/>
          <w:sz w:val="20"/>
          <w:szCs w:val="20"/>
        </w:rPr>
        <w:t>e deductible must be allocated and t</w:t>
      </w:r>
      <w:r w:rsidR="00D361A4" w:rsidRPr="00042F16">
        <w:rPr>
          <w:rFonts w:ascii="Verdana" w:hAnsi="Verdana"/>
          <w:sz w:val="20"/>
          <w:szCs w:val="20"/>
        </w:rPr>
        <w:t>he capital r</w:t>
      </w:r>
      <w:r w:rsidR="00F32FB5" w:rsidRPr="00042F16">
        <w:rPr>
          <w:rFonts w:ascii="Verdana" w:hAnsi="Verdana"/>
          <w:sz w:val="20"/>
          <w:szCs w:val="20"/>
        </w:rPr>
        <w:t xml:space="preserve">equirements has been valued at </w:t>
      </w:r>
      <w:r w:rsidR="00C72F32" w:rsidRPr="00042F16">
        <w:rPr>
          <w:rFonts w:ascii="Verdana" w:hAnsi="Verdana"/>
          <w:sz w:val="20"/>
          <w:szCs w:val="20"/>
        </w:rPr>
        <w:t xml:space="preserve">EUR </w:t>
      </w:r>
      <w:r w:rsidR="00F32FB5" w:rsidRPr="00042F16">
        <w:rPr>
          <w:rFonts w:ascii="Verdana" w:hAnsi="Verdana"/>
          <w:sz w:val="20"/>
          <w:szCs w:val="20"/>
        </w:rPr>
        <w:t>250</w:t>
      </w:r>
      <w:r w:rsidR="00262CB1" w:rsidRPr="00042F16">
        <w:rPr>
          <w:rFonts w:ascii="Verdana" w:hAnsi="Verdana"/>
          <w:sz w:val="20"/>
          <w:szCs w:val="20"/>
        </w:rPr>
        <w:t>,</w:t>
      </w:r>
      <w:r w:rsidR="00F32FB5" w:rsidRPr="00042F16">
        <w:rPr>
          <w:rFonts w:ascii="Verdana" w:hAnsi="Verdana"/>
          <w:sz w:val="20"/>
          <w:szCs w:val="20"/>
        </w:rPr>
        <w:t>000</w:t>
      </w:r>
      <w:r w:rsidR="009E039E" w:rsidRPr="00042F16">
        <w:rPr>
          <w:rFonts w:ascii="Verdana" w:hAnsi="Verdana"/>
          <w:sz w:val="20"/>
          <w:szCs w:val="20"/>
        </w:rPr>
        <w:t xml:space="preserve">. </w:t>
      </w:r>
    </w:p>
    <w:p w14:paraId="3AD6B552" w14:textId="77777777" w:rsidR="00B6671E" w:rsidRPr="00042F16" w:rsidRDefault="00B6671E" w:rsidP="005B0625">
      <w:pPr>
        <w:spacing w:after="0" w:line="240" w:lineRule="auto"/>
        <w:rPr>
          <w:rFonts w:ascii="Verdana" w:hAnsi="Verdana"/>
          <w:sz w:val="20"/>
          <w:szCs w:val="20"/>
        </w:rPr>
      </w:pPr>
    </w:p>
    <w:p w14:paraId="06CFDBC6" w14:textId="493BE4A0" w:rsidR="007133BD" w:rsidRPr="005B0625" w:rsidRDefault="00F32FB5" w:rsidP="005B0625">
      <w:pPr>
        <w:pStyle w:val="Heading2"/>
        <w:spacing w:before="0" w:line="240" w:lineRule="auto"/>
        <w:ind w:left="567" w:hanging="567"/>
        <w:rPr>
          <w:rFonts w:ascii="Verdana" w:hAnsi="Verdana"/>
          <w:b/>
          <w:color w:val="6CACE4"/>
          <w:sz w:val="22"/>
          <w:szCs w:val="22"/>
        </w:rPr>
      </w:pPr>
      <w:bookmarkStart w:id="83" w:name="_Toc22716612"/>
      <w:r w:rsidRPr="005B0625">
        <w:rPr>
          <w:rFonts w:ascii="Verdana" w:hAnsi="Verdana"/>
          <w:b/>
          <w:color w:val="6CACE4"/>
          <w:sz w:val="22"/>
          <w:szCs w:val="22"/>
        </w:rPr>
        <w:t>Business &amp; Strategy risk</w:t>
      </w:r>
      <w:bookmarkEnd w:id="83"/>
    </w:p>
    <w:p w14:paraId="725F0F8D" w14:textId="77777777" w:rsidR="005B0625" w:rsidRPr="005B0625" w:rsidRDefault="005B0625" w:rsidP="005B0625">
      <w:pPr>
        <w:spacing w:after="0" w:line="240" w:lineRule="auto"/>
      </w:pPr>
    </w:p>
    <w:p w14:paraId="3614236D" w14:textId="5328967C" w:rsidR="006F6BC6" w:rsidRPr="00042F16" w:rsidRDefault="00192C0E" w:rsidP="005B0625">
      <w:pPr>
        <w:spacing w:after="0" w:line="240" w:lineRule="auto"/>
        <w:rPr>
          <w:rFonts w:ascii="Verdana" w:hAnsi="Verdana"/>
          <w:sz w:val="20"/>
          <w:szCs w:val="20"/>
        </w:rPr>
      </w:pPr>
      <w:r w:rsidRPr="00042F16">
        <w:rPr>
          <w:rFonts w:ascii="Verdana" w:hAnsi="Verdana"/>
          <w:sz w:val="20"/>
          <w:szCs w:val="20"/>
        </w:rPr>
        <w:t>The business and</w:t>
      </w:r>
      <w:r w:rsidR="006F6BC6" w:rsidRPr="00042F16">
        <w:rPr>
          <w:rFonts w:ascii="Verdana" w:hAnsi="Verdana"/>
          <w:sz w:val="20"/>
          <w:szCs w:val="20"/>
        </w:rPr>
        <w:t xml:space="preserve"> strategy risk is described as the significant financial </w:t>
      </w:r>
      <w:r w:rsidR="005524D8" w:rsidRPr="00042F16">
        <w:rPr>
          <w:rFonts w:ascii="Verdana" w:hAnsi="Verdana"/>
          <w:sz w:val="20"/>
          <w:szCs w:val="20"/>
        </w:rPr>
        <w:t xml:space="preserve">losses that may arise when the </w:t>
      </w:r>
      <w:proofErr w:type="spellStart"/>
      <w:r w:rsidR="000C6BA5" w:rsidRPr="00042F16">
        <w:rPr>
          <w:rFonts w:ascii="Verdana" w:hAnsi="Verdana"/>
          <w:sz w:val="20"/>
          <w:szCs w:val="20"/>
        </w:rPr>
        <w:t>BoD</w:t>
      </w:r>
      <w:proofErr w:type="spellEnd"/>
      <w:r w:rsidR="006F6BC6" w:rsidRPr="00042F16">
        <w:rPr>
          <w:rFonts w:ascii="Verdana" w:hAnsi="Verdana"/>
          <w:sz w:val="20"/>
          <w:szCs w:val="20"/>
        </w:rPr>
        <w:t xml:space="preserve"> or th</w:t>
      </w:r>
      <w:r w:rsidR="00C13133" w:rsidRPr="00042F16">
        <w:rPr>
          <w:rFonts w:ascii="Verdana" w:hAnsi="Verdana"/>
          <w:sz w:val="20"/>
          <w:szCs w:val="20"/>
        </w:rPr>
        <w:t>e management respectively takes</w:t>
      </w:r>
      <w:r w:rsidR="00284259" w:rsidRPr="00042F16">
        <w:rPr>
          <w:rFonts w:ascii="Verdana" w:hAnsi="Verdana"/>
          <w:sz w:val="20"/>
          <w:szCs w:val="20"/>
        </w:rPr>
        <w:t xml:space="preserve"> poor</w:t>
      </w:r>
      <w:r w:rsidR="00C13133" w:rsidRPr="00042F16">
        <w:rPr>
          <w:rFonts w:ascii="Verdana" w:hAnsi="Verdana"/>
          <w:sz w:val="20"/>
          <w:szCs w:val="20"/>
        </w:rPr>
        <w:t xml:space="preserve"> </w:t>
      </w:r>
      <w:r w:rsidR="006F6BC6" w:rsidRPr="00042F16">
        <w:rPr>
          <w:rFonts w:ascii="Verdana" w:hAnsi="Verdana"/>
          <w:sz w:val="20"/>
          <w:szCs w:val="20"/>
        </w:rPr>
        <w:t xml:space="preserve">strategic decisions. This wrong direction in strategy and business decisions can be very harmful for a company and may result in equity valuation losses. </w:t>
      </w:r>
    </w:p>
    <w:p w14:paraId="02B87495" w14:textId="77777777" w:rsidR="00C92E51" w:rsidRDefault="00C92E51" w:rsidP="005B0625">
      <w:pPr>
        <w:spacing w:after="0" w:line="240" w:lineRule="auto"/>
        <w:rPr>
          <w:rFonts w:ascii="Verdana" w:hAnsi="Verdana"/>
          <w:sz w:val="20"/>
          <w:szCs w:val="20"/>
        </w:rPr>
      </w:pPr>
    </w:p>
    <w:p w14:paraId="1BB87334" w14:textId="5721F115" w:rsidR="006F6BC6" w:rsidRPr="00042F16" w:rsidRDefault="006F6BC6" w:rsidP="005B0625">
      <w:pPr>
        <w:spacing w:after="0" w:line="240" w:lineRule="auto"/>
        <w:rPr>
          <w:rFonts w:ascii="Verdana" w:hAnsi="Verdana"/>
          <w:sz w:val="20"/>
          <w:szCs w:val="20"/>
        </w:rPr>
      </w:pPr>
      <w:r w:rsidRPr="00042F16">
        <w:rPr>
          <w:rFonts w:ascii="Verdana" w:hAnsi="Verdana"/>
          <w:sz w:val="20"/>
          <w:szCs w:val="20"/>
        </w:rPr>
        <w:t xml:space="preserve">This business and strategy risk is significant for the Company and is mitigated through </w:t>
      </w:r>
      <w:r w:rsidR="00262CB1" w:rsidRPr="00042F16">
        <w:rPr>
          <w:rFonts w:ascii="Verdana" w:hAnsi="Verdana"/>
          <w:sz w:val="20"/>
          <w:szCs w:val="20"/>
        </w:rPr>
        <w:t xml:space="preserve">the following </w:t>
      </w:r>
      <w:r w:rsidRPr="00042F16">
        <w:rPr>
          <w:rFonts w:ascii="Verdana" w:hAnsi="Verdana"/>
          <w:sz w:val="20"/>
          <w:szCs w:val="20"/>
        </w:rPr>
        <w:t>different</w:t>
      </w:r>
      <w:r w:rsidR="00284259" w:rsidRPr="00042F16">
        <w:rPr>
          <w:rFonts w:ascii="Verdana" w:hAnsi="Verdana"/>
          <w:sz w:val="20"/>
          <w:szCs w:val="20"/>
        </w:rPr>
        <w:t xml:space="preserve"> mitigating measures</w:t>
      </w:r>
      <w:r w:rsidR="00192C0E" w:rsidRPr="00042F16">
        <w:rPr>
          <w:rFonts w:ascii="Verdana" w:hAnsi="Verdana"/>
          <w:sz w:val="20"/>
          <w:szCs w:val="20"/>
        </w:rPr>
        <w:t>:</w:t>
      </w:r>
    </w:p>
    <w:p w14:paraId="7703A046" w14:textId="171F4BFC" w:rsidR="00192C0E" w:rsidRPr="00042F16" w:rsidRDefault="00192C0E" w:rsidP="005B0625">
      <w:pPr>
        <w:pStyle w:val="ListParagraph"/>
        <w:numPr>
          <w:ilvl w:val="0"/>
          <w:numId w:val="30"/>
        </w:numPr>
        <w:spacing w:after="0" w:line="240" w:lineRule="auto"/>
        <w:rPr>
          <w:rFonts w:ascii="Verdana" w:hAnsi="Verdana"/>
          <w:sz w:val="20"/>
          <w:szCs w:val="20"/>
        </w:rPr>
      </w:pPr>
      <w:r w:rsidRPr="00042F16">
        <w:rPr>
          <w:rFonts w:ascii="Verdana" w:hAnsi="Verdana"/>
          <w:sz w:val="20"/>
          <w:szCs w:val="20"/>
        </w:rPr>
        <w:t xml:space="preserve">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adopts a prudent strategy</w:t>
      </w:r>
      <w:r w:rsidR="00262CB1" w:rsidRPr="00042F16">
        <w:rPr>
          <w:rFonts w:ascii="Verdana" w:hAnsi="Verdana"/>
          <w:sz w:val="20"/>
          <w:szCs w:val="20"/>
        </w:rPr>
        <w:t>;</w:t>
      </w:r>
    </w:p>
    <w:p w14:paraId="61288AC0" w14:textId="26B2BF64" w:rsidR="00192C0E" w:rsidRPr="00042F16" w:rsidRDefault="00192C0E" w:rsidP="005B0625">
      <w:pPr>
        <w:pStyle w:val="ListParagraph"/>
        <w:numPr>
          <w:ilvl w:val="0"/>
          <w:numId w:val="30"/>
        </w:numPr>
        <w:spacing w:after="0" w:line="240" w:lineRule="auto"/>
        <w:rPr>
          <w:rFonts w:ascii="Verdana" w:hAnsi="Verdana"/>
          <w:sz w:val="20"/>
          <w:szCs w:val="20"/>
        </w:rPr>
      </w:pPr>
      <w:r w:rsidRPr="00042F16">
        <w:rPr>
          <w:rFonts w:ascii="Verdana" w:hAnsi="Verdana"/>
          <w:sz w:val="20"/>
          <w:szCs w:val="20"/>
        </w:rPr>
        <w:t>The Management applies prudent policies</w:t>
      </w:r>
      <w:r w:rsidR="00262CB1" w:rsidRPr="00042F16">
        <w:rPr>
          <w:rFonts w:ascii="Verdana" w:hAnsi="Verdana"/>
          <w:sz w:val="20"/>
          <w:szCs w:val="20"/>
        </w:rPr>
        <w:t>;</w:t>
      </w:r>
    </w:p>
    <w:p w14:paraId="6B5FC230" w14:textId="326525B0" w:rsidR="00192C0E" w:rsidRPr="00042F16" w:rsidRDefault="00192C0E" w:rsidP="005B0625">
      <w:pPr>
        <w:pStyle w:val="ListParagraph"/>
        <w:numPr>
          <w:ilvl w:val="0"/>
          <w:numId w:val="30"/>
        </w:numPr>
        <w:spacing w:after="0" w:line="240" w:lineRule="auto"/>
        <w:rPr>
          <w:rFonts w:ascii="Verdana" w:hAnsi="Verdana"/>
          <w:sz w:val="20"/>
          <w:szCs w:val="20"/>
        </w:rPr>
      </w:pPr>
      <w:r w:rsidRPr="00042F16">
        <w:rPr>
          <w:rFonts w:ascii="Verdana" w:hAnsi="Verdana"/>
          <w:sz w:val="20"/>
          <w:szCs w:val="20"/>
        </w:rPr>
        <w:t>The Management and the Board members are highly experienced</w:t>
      </w:r>
      <w:r w:rsidR="00262CB1" w:rsidRPr="00042F16">
        <w:rPr>
          <w:rFonts w:ascii="Verdana" w:hAnsi="Verdana"/>
          <w:sz w:val="20"/>
          <w:szCs w:val="20"/>
        </w:rPr>
        <w:t>;</w:t>
      </w:r>
    </w:p>
    <w:p w14:paraId="53A98E7E" w14:textId="6D6399EA" w:rsidR="00192C0E" w:rsidRPr="00042F16" w:rsidRDefault="00192C0E" w:rsidP="005B0625">
      <w:pPr>
        <w:pStyle w:val="ListParagraph"/>
        <w:numPr>
          <w:ilvl w:val="0"/>
          <w:numId w:val="30"/>
        </w:numPr>
        <w:spacing w:after="0" w:line="240" w:lineRule="auto"/>
        <w:rPr>
          <w:rFonts w:ascii="Verdana" w:hAnsi="Verdana"/>
          <w:sz w:val="20"/>
          <w:szCs w:val="20"/>
        </w:rPr>
      </w:pPr>
      <w:r w:rsidRPr="00042F16">
        <w:rPr>
          <w:rFonts w:ascii="Verdana" w:hAnsi="Verdana"/>
          <w:sz w:val="20"/>
          <w:szCs w:val="20"/>
        </w:rPr>
        <w:t>Corpo</w:t>
      </w:r>
      <w:r w:rsidR="00284259" w:rsidRPr="00042F16">
        <w:rPr>
          <w:rFonts w:ascii="Verdana" w:hAnsi="Verdana"/>
          <w:sz w:val="20"/>
          <w:szCs w:val="20"/>
        </w:rPr>
        <w:t>rate governance principles lead</w:t>
      </w:r>
      <w:r w:rsidRPr="00042F16">
        <w:rPr>
          <w:rFonts w:ascii="Verdana" w:hAnsi="Verdana"/>
          <w:sz w:val="20"/>
          <w:szCs w:val="20"/>
        </w:rPr>
        <w:t xml:space="preserve"> the business</w:t>
      </w:r>
      <w:r w:rsidR="00262CB1" w:rsidRPr="00042F16">
        <w:rPr>
          <w:rFonts w:ascii="Verdana" w:hAnsi="Verdana"/>
          <w:sz w:val="20"/>
          <w:szCs w:val="20"/>
        </w:rPr>
        <w:t>;</w:t>
      </w:r>
    </w:p>
    <w:p w14:paraId="056EDF7B" w14:textId="582F824C" w:rsidR="00192C0E" w:rsidRPr="00042F16" w:rsidRDefault="00192C0E" w:rsidP="005B0625">
      <w:pPr>
        <w:pStyle w:val="ListParagraph"/>
        <w:numPr>
          <w:ilvl w:val="0"/>
          <w:numId w:val="30"/>
        </w:numPr>
        <w:spacing w:after="0" w:line="240" w:lineRule="auto"/>
        <w:rPr>
          <w:rFonts w:ascii="Verdana" w:hAnsi="Verdana"/>
          <w:sz w:val="20"/>
          <w:szCs w:val="20"/>
        </w:rPr>
      </w:pPr>
      <w:r w:rsidRPr="00042F16">
        <w:rPr>
          <w:rFonts w:ascii="Verdana" w:hAnsi="Verdana"/>
          <w:sz w:val="20"/>
          <w:szCs w:val="20"/>
        </w:rPr>
        <w:t>Annual strategy meeting.</w:t>
      </w:r>
    </w:p>
    <w:p w14:paraId="3ACA6CB0" w14:textId="77777777" w:rsidR="00C92E51" w:rsidRDefault="00C92E51" w:rsidP="005B0625">
      <w:pPr>
        <w:spacing w:after="0" w:line="240" w:lineRule="auto"/>
        <w:rPr>
          <w:rFonts w:ascii="Verdana" w:hAnsi="Verdana"/>
          <w:sz w:val="20"/>
          <w:szCs w:val="20"/>
        </w:rPr>
      </w:pPr>
    </w:p>
    <w:p w14:paraId="105A1CCB" w14:textId="5EA7FA8B" w:rsidR="006F6BC6" w:rsidRPr="00042F16" w:rsidRDefault="00192C0E" w:rsidP="005B0625">
      <w:pPr>
        <w:spacing w:after="0" w:line="240" w:lineRule="auto"/>
        <w:rPr>
          <w:rFonts w:ascii="Verdana" w:hAnsi="Verdana"/>
          <w:sz w:val="20"/>
          <w:szCs w:val="20"/>
        </w:rPr>
      </w:pPr>
      <w:r w:rsidRPr="00042F16">
        <w:rPr>
          <w:rFonts w:ascii="Verdana" w:hAnsi="Verdana"/>
          <w:sz w:val="20"/>
          <w:szCs w:val="20"/>
        </w:rPr>
        <w:t>Those mitigating controls enable</w:t>
      </w:r>
      <w:r w:rsidR="00D361A4" w:rsidRPr="00042F16">
        <w:rPr>
          <w:rFonts w:ascii="Verdana" w:hAnsi="Verdana"/>
          <w:sz w:val="20"/>
          <w:szCs w:val="20"/>
        </w:rPr>
        <w:t xml:space="preserve"> the Company to pass</w:t>
      </w:r>
      <w:r w:rsidRPr="00042F16">
        <w:rPr>
          <w:rFonts w:ascii="Verdana" w:hAnsi="Verdana"/>
          <w:sz w:val="20"/>
          <w:szCs w:val="20"/>
        </w:rPr>
        <w:t xml:space="preserve"> from a significant gross risk to a moderate r</w:t>
      </w:r>
      <w:r w:rsidR="005524D8" w:rsidRPr="00042F16">
        <w:rPr>
          <w:rFonts w:ascii="Verdana" w:hAnsi="Verdana"/>
          <w:sz w:val="20"/>
          <w:szCs w:val="20"/>
        </w:rPr>
        <w:t>esidual risk with a very low</w:t>
      </w:r>
      <w:r w:rsidR="00C45BAA" w:rsidRPr="00042F16">
        <w:rPr>
          <w:rFonts w:ascii="Verdana" w:hAnsi="Verdana"/>
          <w:sz w:val="20"/>
          <w:szCs w:val="20"/>
        </w:rPr>
        <w:t xml:space="preserve"> probability of occurrence. </w:t>
      </w:r>
    </w:p>
    <w:p w14:paraId="795D2708" w14:textId="77777777" w:rsidR="00C92E51" w:rsidRDefault="00C92E51" w:rsidP="005B0625">
      <w:pPr>
        <w:spacing w:after="0" w:line="240" w:lineRule="auto"/>
        <w:rPr>
          <w:rFonts w:ascii="Verdana" w:hAnsi="Verdana"/>
          <w:sz w:val="20"/>
          <w:szCs w:val="20"/>
        </w:rPr>
      </w:pPr>
    </w:p>
    <w:p w14:paraId="4CCC3A4C" w14:textId="1901C5C4" w:rsidR="00C45BAA" w:rsidRPr="00042F16" w:rsidRDefault="00C45BAA" w:rsidP="005B0625">
      <w:pPr>
        <w:spacing w:after="0" w:line="240" w:lineRule="auto"/>
        <w:rPr>
          <w:rFonts w:ascii="Verdana" w:hAnsi="Verdana"/>
          <w:sz w:val="20"/>
          <w:szCs w:val="20"/>
        </w:rPr>
      </w:pPr>
      <w:r w:rsidRPr="00042F16">
        <w:rPr>
          <w:rFonts w:ascii="Verdana" w:hAnsi="Verdana"/>
          <w:sz w:val="20"/>
          <w:szCs w:val="20"/>
        </w:rPr>
        <w:t>Business and strategy residual risk is assessed as not significant with regards to the Company’s current conduct and activity. Th</w:t>
      </w:r>
      <w:r w:rsidR="00630531" w:rsidRPr="00042F16">
        <w:rPr>
          <w:rFonts w:ascii="Verdana" w:hAnsi="Verdana"/>
          <w:sz w:val="20"/>
          <w:szCs w:val="20"/>
        </w:rPr>
        <w:t xml:space="preserve">e rationale is the fact </w:t>
      </w:r>
      <w:r w:rsidR="00D361A4" w:rsidRPr="00042F16">
        <w:rPr>
          <w:rFonts w:ascii="Verdana" w:hAnsi="Verdana"/>
          <w:sz w:val="20"/>
          <w:szCs w:val="20"/>
        </w:rPr>
        <w:t xml:space="preserve">that </w:t>
      </w:r>
      <w:r w:rsidR="00630531" w:rsidRPr="00042F16">
        <w:rPr>
          <w:rFonts w:ascii="Verdana" w:hAnsi="Verdana"/>
          <w:sz w:val="20"/>
          <w:szCs w:val="20"/>
        </w:rPr>
        <w:t xml:space="preserve">the </w:t>
      </w:r>
      <w:r w:rsidRPr="00042F16">
        <w:rPr>
          <w:rFonts w:ascii="Verdana" w:hAnsi="Verdana"/>
          <w:sz w:val="20"/>
          <w:szCs w:val="20"/>
        </w:rPr>
        <w:t xml:space="preserve">Company does not invest for its own account, its activity is very simple and is limited to clients discretionary assets management mostly through own investment funds. The approach to asset management is prudent and no trading is effectuated. </w:t>
      </w:r>
    </w:p>
    <w:p w14:paraId="05AF52E0" w14:textId="77777777" w:rsidR="00C92E51" w:rsidRDefault="00C92E51" w:rsidP="005B0625">
      <w:pPr>
        <w:spacing w:after="0" w:line="240" w:lineRule="auto"/>
        <w:rPr>
          <w:rFonts w:ascii="Verdana" w:hAnsi="Verdana"/>
          <w:sz w:val="20"/>
          <w:szCs w:val="20"/>
        </w:rPr>
      </w:pPr>
    </w:p>
    <w:p w14:paraId="670935DD" w14:textId="06806BBD" w:rsidR="00C45BAA" w:rsidRPr="00042F16" w:rsidRDefault="00C45BAA" w:rsidP="005B0625">
      <w:pPr>
        <w:spacing w:after="0" w:line="240" w:lineRule="auto"/>
        <w:rPr>
          <w:rFonts w:ascii="Verdana" w:hAnsi="Verdana"/>
          <w:sz w:val="20"/>
          <w:szCs w:val="20"/>
        </w:rPr>
      </w:pPr>
      <w:r w:rsidRPr="00042F16">
        <w:rPr>
          <w:rFonts w:ascii="Verdana" w:hAnsi="Verdana"/>
          <w:sz w:val="20"/>
          <w:szCs w:val="20"/>
        </w:rPr>
        <w:t xml:space="preserve">As a consequence, </w:t>
      </w:r>
      <w:r w:rsidR="00957371" w:rsidRPr="00042F16">
        <w:rPr>
          <w:rFonts w:ascii="Verdana" w:hAnsi="Verdana"/>
          <w:sz w:val="20"/>
          <w:szCs w:val="20"/>
        </w:rPr>
        <w:t>The Company</w:t>
      </w:r>
      <w:r w:rsidRPr="00042F16">
        <w:rPr>
          <w:rFonts w:ascii="Verdana" w:hAnsi="Verdana"/>
          <w:sz w:val="20"/>
          <w:szCs w:val="20"/>
        </w:rPr>
        <w:t xml:space="preserve"> decided t</w:t>
      </w:r>
      <w:r w:rsidR="005524D8" w:rsidRPr="00042F16">
        <w:rPr>
          <w:rFonts w:ascii="Verdana" w:hAnsi="Verdana"/>
          <w:sz w:val="20"/>
          <w:szCs w:val="20"/>
        </w:rPr>
        <w:t>o not allocate</w:t>
      </w:r>
      <w:r w:rsidRPr="00042F16">
        <w:rPr>
          <w:rFonts w:ascii="Verdana" w:hAnsi="Verdana"/>
          <w:sz w:val="20"/>
          <w:szCs w:val="20"/>
        </w:rPr>
        <w:t xml:space="preserve"> any internal own funds to the business and strategy risk.</w:t>
      </w:r>
    </w:p>
    <w:p w14:paraId="748BE9F1" w14:textId="77777777" w:rsidR="00B6671E" w:rsidRDefault="00B6671E" w:rsidP="005B0625">
      <w:pPr>
        <w:spacing w:after="0" w:line="240" w:lineRule="auto"/>
        <w:rPr>
          <w:rFonts w:ascii="Verdana" w:hAnsi="Verdana"/>
          <w:sz w:val="20"/>
          <w:szCs w:val="20"/>
        </w:rPr>
      </w:pPr>
    </w:p>
    <w:p w14:paraId="229CB4A3" w14:textId="77777777" w:rsidR="00386551" w:rsidRDefault="00386551" w:rsidP="005B0625">
      <w:pPr>
        <w:spacing w:after="0" w:line="240" w:lineRule="auto"/>
        <w:rPr>
          <w:rFonts w:ascii="Verdana" w:hAnsi="Verdana"/>
          <w:sz w:val="20"/>
          <w:szCs w:val="20"/>
        </w:rPr>
      </w:pPr>
    </w:p>
    <w:p w14:paraId="70CA9699" w14:textId="77777777" w:rsidR="00386551" w:rsidRDefault="00386551" w:rsidP="005B0625">
      <w:pPr>
        <w:spacing w:after="0" w:line="240" w:lineRule="auto"/>
        <w:rPr>
          <w:rFonts w:ascii="Verdana" w:hAnsi="Verdana"/>
          <w:sz w:val="20"/>
          <w:szCs w:val="20"/>
        </w:rPr>
      </w:pPr>
    </w:p>
    <w:p w14:paraId="27004D11" w14:textId="77777777" w:rsidR="00386551" w:rsidRDefault="00386551" w:rsidP="005B0625">
      <w:pPr>
        <w:spacing w:after="0" w:line="240" w:lineRule="auto"/>
        <w:rPr>
          <w:rFonts w:ascii="Verdana" w:hAnsi="Verdana"/>
          <w:sz w:val="20"/>
          <w:szCs w:val="20"/>
        </w:rPr>
      </w:pPr>
    </w:p>
    <w:p w14:paraId="519944CA" w14:textId="77777777" w:rsidR="00386551" w:rsidRDefault="00386551" w:rsidP="005B0625">
      <w:pPr>
        <w:spacing w:after="0" w:line="240" w:lineRule="auto"/>
        <w:rPr>
          <w:rFonts w:ascii="Verdana" w:hAnsi="Verdana"/>
          <w:sz w:val="20"/>
          <w:szCs w:val="20"/>
        </w:rPr>
      </w:pPr>
    </w:p>
    <w:p w14:paraId="7FF0DB63" w14:textId="77777777" w:rsidR="00386551" w:rsidRPr="00042F16" w:rsidRDefault="00386551" w:rsidP="005B0625">
      <w:pPr>
        <w:spacing w:after="0" w:line="240" w:lineRule="auto"/>
        <w:rPr>
          <w:rFonts w:ascii="Verdana" w:hAnsi="Verdana"/>
          <w:sz w:val="20"/>
          <w:szCs w:val="20"/>
        </w:rPr>
      </w:pPr>
    </w:p>
    <w:p w14:paraId="3F3A5E29" w14:textId="7DF4A2D2" w:rsidR="00F32FB5" w:rsidRPr="005B0625" w:rsidRDefault="00F32FB5" w:rsidP="00650143">
      <w:pPr>
        <w:pStyle w:val="Heading2"/>
        <w:spacing w:before="0" w:line="240" w:lineRule="auto"/>
        <w:ind w:left="426" w:hanging="426"/>
        <w:rPr>
          <w:rFonts w:ascii="Verdana" w:hAnsi="Verdana"/>
          <w:b/>
          <w:color w:val="6CACE4"/>
          <w:sz w:val="22"/>
          <w:szCs w:val="22"/>
        </w:rPr>
      </w:pPr>
      <w:bookmarkStart w:id="84" w:name="_Toc22716613"/>
      <w:r w:rsidRPr="005B0625">
        <w:rPr>
          <w:rFonts w:ascii="Verdana" w:hAnsi="Verdana"/>
          <w:b/>
          <w:color w:val="6CACE4"/>
          <w:sz w:val="22"/>
          <w:szCs w:val="22"/>
        </w:rPr>
        <w:lastRenderedPageBreak/>
        <w:t>Reputation</w:t>
      </w:r>
      <w:r w:rsidR="00C37439" w:rsidRPr="005B0625">
        <w:rPr>
          <w:rFonts w:ascii="Verdana" w:hAnsi="Verdana"/>
          <w:b/>
          <w:color w:val="6CACE4"/>
          <w:sz w:val="22"/>
          <w:szCs w:val="22"/>
        </w:rPr>
        <w:t>al</w:t>
      </w:r>
      <w:r w:rsidRPr="005B0625">
        <w:rPr>
          <w:rFonts w:ascii="Verdana" w:hAnsi="Verdana"/>
          <w:b/>
          <w:color w:val="6CACE4"/>
          <w:sz w:val="22"/>
          <w:szCs w:val="22"/>
        </w:rPr>
        <w:t xml:space="preserve"> risk</w:t>
      </w:r>
      <w:bookmarkEnd w:id="84"/>
    </w:p>
    <w:p w14:paraId="43E48298" w14:textId="77777777" w:rsidR="005B0625" w:rsidRPr="005B0625" w:rsidRDefault="005B0625" w:rsidP="005B0625">
      <w:pPr>
        <w:spacing w:after="0" w:line="240" w:lineRule="auto"/>
      </w:pPr>
    </w:p>
    <w:p w14:paraId="5D048635" w14:textId="07B1EC08" w:rsidR="00C45BAA" w:rsidRPr="00042F16" w:rsidRDefault="00C45BAA" w:rsidP="005B0625">
      <w:pPr>
        <w:spacing w:after="0" w:line="240" w:lineRule="auto"/>
        <w:rPr>
          <w:rFonts w:ascii="Verdana" w:hAnsi="Verdana"/>
          <w:sz w:val="20"/>
          <w:szCs w:val="20"/>
        </w:rPr>
      </w:pPr>
      <w:r w:rsidRPr="00042F16">
        <w:rPr>
          <w:rFonts w:ascii="Verdana" w:hAnsi="Verdana"/>
          <w:sz w:val="20"/>
          <w:szCs w:val="20"/>
        </w:rPr>
        <w:t xml:space="preserve">The reputational risk can be defined as the threat to the good name or standing of </w:t>
      </w:r>
      <w:r w:rsidR="00C37439" w:rsidRPr="00042F16">
        <w:rPr>
          <w:rFonts w:ascii="Verdana" w:hAnsi="Verdana"/>
          <w:sz w:val="20"/>
          <w:szCs w:val="20"/>
        </w:rPr>
        <w:t xml:space="preserve">a </w:t>
      </w:r>
      <w:r w:rsidR="00BF007C" w:rsidRPr="00042F16">
        <w:rPr>
          <w:rFonts w:ascii="Verdana" w:hAnsi="Verdana"/>
          <w:sz w:val="20"/>
          <w:szCs w:val="20"/>
        </w:rPr>
        <w:t>The C</w:t>
      </w:r>
      <w:r w:rsidR="00C37439" w:rsidRPr="00042F16">
        <w:rPr>
          <w:rFonts w:ascii="Verdana" w:hAnsi="Verdana"/>
          <w:sz w:val="20"/>
          <w:szCs w:val="20"/>
        </w:rPr>
        <w:t>ompany. It might be an action or an omission that would have an impact on the image or reputation and consequently would be harmful to the ability to grant services, to find suppliers or to keep and gain clients and staff. It would also have an impact on the confidence of the authorities, external auditors and shareholders.</w:t>
      </w:r>
    </w:p>
    <w:p w14:paraId="320B143F" w14:textId="77777777" w:rsidR="00C92E51" w:rsidRDefault="00C92E51" w:rsidP="005B0625">
      <w:pPr>
        <w:spacing w:after="0" w:line="240" w:lineRule="auto"/>
        <w:rPr>
          <w:rFonts w:ascii="Verdana" w:hAnsi="Verdana"/>
          <w:sz w:val="20"/>
          <w:szCs w:val="20"/>
        </w:rPr>
      </w:pPr>
    </w:p>
    <w:p w14:paraId="27B8E723" w14:textId="4FD14EEB" w:rsidR="00C37439" w:rsidRPr="00042F16" w:rsidRDefault="00C37439" w:rsidP="005B0625">
      <w:pPr>
        <w:spacing w:after="0" w:line="240" w:lineRule="auto"/>
        <w:rPr>
          <w:rFonts w:ascii="Verdana" w:hAnsi="Verdana"/>
          <w:sz w:val="20"/>
          <w:szCs w:val="20"/>
        </w:rPr>
      </w:pPr>
      <w:r w:rsidRPr="00042F16">
        <w:rPr>
          <w:rFonts w:ascii="Verdana" w:hAnsi="Verdana"/>
          <w:sz w:val="20"/>
          <w:szCs w:val="20"/>
        </w:rPr>
        <w:t xml:space="preserve">This reputational risk is major and forces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to apply mitigating controls:</w:t>
      </w:r>
    </w:p>
    <w:p w14:paraId="2A17ADED" w14:textId="7C175A4B" w:rsidR="00C37439" w:rsidRPr="00042F16" w:rsidRDefault="000C6BA5" w:rsidP="005B0625">
      <w:pPr>
        <w:pStyle w:val="ListParagraph"/>
        <w:numPr>
          <w:ilvl w:val="0"/>
          <w:numId w:val="31"/>
        </w:numPr>
        <w:spacing w:after="0" w:line="240" w:lineRule="auto"/>
        <w:rPr>
          <w:rFonts w:ascii="Verdana" w:hAnsi="Verdana"/>
          <w:sz w:val="20"/>
          <w:szCs w:val="20"/>
        </w:rPr>
      </w:pPr>
      <w:proofErr w:type="spellStart"/>
      <w:r w:rsidRPr="00042F16">
        <w:rPr>
          <w:rFonts w:ascii="Verdana" w:hAnsi="Verdana"/>
          <w:sz w:val="20"/>
          <w:szCs w:val="20"/>
        </w:rPr>
        <w:t>BoD</w:t>
      </w:r>
      <w:proofErr w:type="spellEnd"/>
      <w:r w:rsidR="005524D8" w:rsidRPr="00042F16">
        <w:rPr>
          <w:rFonts w:ascii="Verdana" w:hAnsi="Verdana"/>
          <w:sz w:val="20"/>
          <w:szCs w:val="20"/>
        </w:rPr>
        <w:t xml:space="preserve"> &amp; M</w:t>
      </w:r>
      <w:r w:rsidR="00C37439" w:rsidRPr="00042F16">
        <w:rPr>
          <w:rFonts w:ascii="Verdana" w:hAnsi="Verdana"/>
          <w:sz w:val="20"/>
          <w:szCs w:val="20"/>
        </w:rPr>
        <w:t xml:space="preserve">anagement: the corporate culture is based on integrity and honesty towards all stakeholders. </w:t>
      </w:r>
    </w:p>
    <w:p w14:paraId="697833B6" w14:textId="64081476" w:rsidR="00C37439" w:rsidRPr="00042F16" w:rsidRDefault="00C37439"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 xml:space="preserve">Board members and shareholder are aware of the reputational risk threat. </w:t>
      </w:r>
    </w:p>
    <w:p w14:paraId="4364CC6C" w14:textId="6E14898E" w:rsidR="00C37439" w:rsidRPr="00042F16" w:rsidRDefault="00C37439"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 xml:space="preserve">Effective internal control system is based on compliance, risk management and internal audit. </w:t>
      </w:r>
    </w:p>
    <w:p w14:paraId="0D031604" w14:textId="26EFDFF1" w:rsidR="00C37439" w:rsidRPr="00042F16" w:rsidRDefault="00957371"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The Company</w:t>
      </w:r>
      <w:r w:rsidR="00C37439" w:rsidRPr="00042F16">
        <w:rPr>
          <w:rFonts w:ascii="Verdana" w:hAnsi="Verdana"/>
          <w:sz w:val="20"/>
          <w:szCs w:val="20"/>
        </w:rPr>
        <w:t xml:space="preserve"> produces a Crisis Management Plan. </w:t>
      </w:r>
    </w:p>
    <w:p w14:paraId="4A705592" w14:textId="25C53C36" w:rsidR="00C37439" w:rsidRPr="00042F16" w:rsidRDefault="00C37439"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 xml:space="preserve">The staff is accountable for the risk culture and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has built </w:t>
      </w:r>
      <w:r w:rsidR="00BF007C" w:rsidRPr="00042F16">
        <w:rPr>
          <w:rFonts w:ascii="Verdana" w:hAnsi="Verdana"/>
          <w:sz w:val="20"/>
          <w:szCs w:val="20"/>
        </w:rPr>
        <w:t>a strong</w:t>
      </w:r>
      <w:r w:rsidRPr="00042F16">
        <w:rPr>
          <w:rFonts w:ascii="Verdana" w:hAnsi="Verdana"/>
          <w:sz w:val="20"/>
          <w:szCs w:val="20"/>
        </w:rPr>
        <w:t xml:space="preserve"> structured organisation based on </w:t>
      </w:r>
      <w:proofErr w:type="spellStart"/>
      <w:r w:rsidRPr="00042F16">
        <w:rPr>
          <w:rFonts w:ascii="Verdana" w:hAnsi="Verdana"/>
          <w:sz w:val="20"/>
          <w:szCs w:val="20"/>
        </w:rPr>
        <w:t>or</w:t>
      </w:r>
      <w:r w:rsidR="0079780D" w:rsidRPr="00042F16">
        <w:rPr>
          <w:rFonts w:ascii="Verdana" w:hAnsi="Verdana"/>
          <w:sz w:val="20"/>
          <w:szCs w:val="20"/>
        </w:rPr>
        <w:t>ganigrams</w:t>
      </w:r>
      <w:proofErr w:type="spellEnd"/>
      <w:r w:rsidR="0079780D" w:rsidRPr="00042F16">
        <w:rPr>
          <w:rFonts w:ascii="Verdana" w:hAnsi="Verdana"/>
          <w:sz w:val="20"/>
          <w:szCs w:val="20"/>
        </w:rPr>
        <w:t xml:space="preserve"> and job descriptions. Finally the staff turnover is low.</w:t>
      </w:r>
      <w:r w:rsidRPr="00042F16">
        <w:rPr>
          <w:rFonts w:ascii="Verdana" w:hAnsi="Verdana"/>
          <w:sz w:val="20"/>
          <w:szCs w:val="20"/>
        </w:rPr>
        <w:t xml:space="preserve"> </w:t>
      </w:r>
    </w:p>
    <w:p w14:paraId="528F8BC5" w14:textId="5856F1A6" w:rsidR="00C37439" w:rsidRPr="00042F16" w:rsidRDefault="0079780D"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The</w:t>
      </w:r>
      <w:r w:rsidR="00D361A4" w:rsidRPr="00042F16">
        <w:rPr>
          <w:rFonts w:ascii="Verdana" w:hAnsi="Verdana"/>
          <w:sz w:val="20"/>
          <w:szCs w:val="20"/>
        </w:rPr>
        <w:t xml:space="preserve"> entire organisation applies a c</w:t>
      </w:r>
      <w:r w:rsidRPr="00042F16">
        <w:rPr>
          <w:rFonts w:ascii="Verdana" w:hAnsi="Verdana"/>
          <w:sz w:val="20"/>
          <w:szCs w:val="20"/>
        </w:rPr>
        <w:t>ode of conduct</w:t>
      </w:r>
      <w:r w:rsidR="00C37439" w:rsidRPr="00042F16">
        <w:rPr>
          <w:rFonts w:ascii="Verdana" w:hAnsi="Verdana"/>
          <w:sz w:val="20"/>
          <w:szCs w:val="20"/>
        </w:rPr>
        <w:t xml:space="preserve"> and </w:t>
      </w:r>
      <w:r w:rsidRPr="00042F16">
        <w:rPr>
          <w:rFonts w:ascii="Verdana" w:hAnsi="Verdana"/>
          <w:sz w:val="20"/>
          <w:szCs w:val="20"/>
        </w:rPr>
        <w:t>is trained on reputational risk.</w:t>
      </w:r>
      <w:r w:rsidR="00C37439" w:rsidRPr="00042F16">
        <w:rPr>
          <w:rFonts w:ascii="Verdana" w:hAnsi="Verdana"/>
          <w:sz w:val="20"/>
          <w:szCs w:val="20"/>
        </w:rPr>
        <w:t xml:space="preserve"> </w:t>
      </w:r>
    </w:p>
    <w:p w14:paraId="67F1D437" w14:textId="5BC93033" w:rsidR="00C37439" w:rsidRPr="00042F16" w:rsidRDefault="004637BE"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The Human Resources and</w:t>
      </w:r>
      <w:r w:rsidR="00C37439" w:rsidRPr="00042F16">
        <w:rPr>
          <w:rFonts w:ascii="Verdana" w:hAnsi="Verdana"/>
          <w:sz w:val="20"/>
          <w:szCs w:val="20"/>
        </w:rPr>
        <w:t xml:space="preserve"> Client acceptation process</w:t>
      </w:r>
      <w:r w:rsidR="0079780D" w:rsidRPr="00042F16">
        <w:rPr>
          <w:rFonts w:ascii="Verdana" w:hAnsi="Verdana"/>
          <w:sz w:val="20"/>
          <w:szCs w:val="20"/>
        </w:rPr>
        <w:t xml:space="preserve"> is</w:t>
      </w:r>
      <w:r w:rsidR="00C37439" w:rsidRPr="00042F16">
        <w:rPr>
          <w:rFonts w:ascii="Verdana" w:hAnsi="Verdana"/>
          <w:sz w:val="20"/>
          <w:szCs w:val="20"/>
        </w:rPr>
        <w:t xml:space="preserve"> prudent </w:t>
      </w:r>
      <w:r w:rsidR="0079780D" w:rsidRPr="00042F16">
        <w:rPr>
          <w:rFonts w:ascii="Verdana" w:hAnsi="Verdana"/>
          <w:sz w:val="20"/>
          <w:szCs w:val="20"/>
        </w:rPr>
        <w:t>and</w:t>
      </w:r>
      <w:r w:rsidR="00C37439" w:rsidRPr="00042F16">
        <w:rPr>
          <w:rFonts w:ascii="Verdana" w:hAnsi="Verdana"/>
          <w:sz w:val="20"/>
          <w:szCs w:val="20"/>
        </w:rPr>
        <w:t xml:space="preserve"> </w:t>
      </w:r>
      <w:r w:rsidRPr="00042F16">
        <w:rPr>
          <w:rFonts w:ascii="Verdana" w:hAnsi="Verdana"/>
          <w:sz w:val="20"/>
          <w:szCs w:val="20"/>
        </w:rPr>
        <w:t xml:space="preserve">centralised. The </w:t>
      </w:r>
      <w:r w:rsidR="00C37439" w:rsidRPr="00042F16">
        <w:rPr>
          <w:rFonts w:ascii="Verdana" w:hAnsi="Verdana"/>
          <w:sz w:val="20"/>
          <w:szCs w:val="20"/>
        </w:rPr>
        <w:t xml:space="preserve">escalation process </w:t>
      </w:r>
      <w:r w:rsidRPr="00042F16">
        <w:rPr>
          <w:rFonts w:ascii="Verdana" w:hAnsi="Verdana"/>
          <w:sz w:val="20"/>
          <w:szCs w:val="20"/>
        </w:rPr>
        <w:t xml:space="preserve">is based </w:t>
      </w:r>
      <w:r w:rsidR="00D361A4" w:rsidRPr="00042F16">
        <w:rPr>
          <w:rFonts w:ascii="Verdana" w:hAnsi="Verdana"/>
          <w:sz w:val="20"/>
          <w:szCs w:val="20"/>
        </w:rPr>
        <w:t>on a risk-</w:t>
      </w:r>
      <w:r w:rsidR="00C37439" w:rsidRPr="00042F16">
        <w:rPr>
          <w:rFonts w:ascii="Verdana" w:hAnsi="Verdana"/>
          <w:sz w:val="20"/>
          <w:szCs w:val="20"/>
        </w:rPr>
        <w:t xml:space="preserve">based approach. </w:t>
      </w:r>
    </w:p>
    <w:p w14:paraId="43671F0B" w14:textId="6310B987" w:rsidR="00C37439" w:rsidRPr="00042F16" w:rsidRDefault="00E57803"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A co</w:t>
      </w:r>
      <w:r w:rsidR="00C37439" w:rsidRPr="00042F16">
        <w:rPr>
          <w:rFonts w:ascii="Verdana" w:hAnsi="Verdana"/>
          <w:sz w:val="20"/>
          <w:szCs w:val="20"/>
        </w:rPr>
        <w:t>nflict of interests</w:t>
      </w:r>
      <w:r w:rsidR="00C37439" w:rsidRPr="00042F16">
        <w:rPr>
          <w:rFonts w:ascii="Verdana" w:hAnsi="Verdana" w:cs="Arial"/>
          <w:sz w:val="20"/>
          <w:szCs w:val="20"/>
        </w:rPr>
        <w:t>’</w:t>
      </w:r>
      <w:r w:rsidRPr="00042F16">
        <w:rPr>
          <w:rFonts w:ascii="Verdana" w:hAnsi="Verdana"/>
          <w:sz w:val="20"/>
          <w:szCs w:val="20"/>
        </w:rPr>
        <w:t xml:space="preserve"> policy is in place </w:t>
      </w:r>
      <w:r w:rsidR="000C0369" w:rsidRPr="00042F16">
        <w:rPr>
          <w:rFonts w:ascii="Verdana" w:hAnsi="Verdana"/>
          <w:sz w:val="20"/>
          <w:szCs w:val="20"/>
        </w:rPr>
        <w:t>(</w:t>
      </w:r>
      <w:r w:rsidR="00C37439" w:rsidRPr="00042F16">
        <w:rPr>
          <w:rFonts w:ascii="Verdana" w:hAnsi="Verdana"/>
          <w:sz w:val="20"/>
          <w:szCs w:val="20"/>
        </w:rPr>
        <w:t xml:space="preserve">no significant additional risks of conflicts </w:t>
      </w:r>
      <w:r w:rsidRPr="00042F16">
        <w:rPr>
          <w:rFonts w:ascii="Verdana" w:hAnsi="Verdana"/>
          <w:sz w:val="20"/>
          <w:szCs w:val="20"/>
        </w:rPr>
        <w:t xml:space="preserve">has been </w:t>
      </w:r>
      <w:r w:rsidR="00821081">
        <w:rPr>
          <w:rFonts w:ascii="Verdana" w:hAnsi="Verdana"/>
          <w:sz w:val="20"/>
          <w:szCs w:val="20"/>
        </w:rPr>
        <w:t>detected in 2019</w:t>
      </w:r>
      <w:r w:rsidR="000C0369" w:rsidRPr="00042F16">
        <w:rPr>
          <w:rFonts w:ascii="Verdana" w:hAnsi="Verdana"/>
          <w:sz w:val="20"/>
          <w:szCs w:val="20"/>
        </w:rPr>
        <w:t>)</w:t>
      </w:r>
      <w:r w:rsidR="00C37439" w:rsidRPr="00042F16">
        <w:rPr>
          <w:rFonts w:ascii="Verdana" w:hAnsi="Verdana"/>
          <w:sz w:val="20"/>
          <w:szCs w:val="20"/>
        </w:rPr>
        <w:t xml:space="preserve">. </w:t>
      </w:r>
    </w:p>
    <w:p w14:paraId="661EB366" w14:textId="08066796" w:rsidR="00C37439" w:rsidRPr="00042F16" w:rsidRDefault="00E57803"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 xml:space="preserve">A complaints monitoring process is in place and a very </w:t>
      </w:r>
      <w:r w:rsidR="00C37439" w:rsidRPr="00042F16">
        <w:rPr>
          <w:rFonts w:ascii="Verdana" w:hAnsi="Verdana"/>
          <w:sz w:val="20"/>
          <w:szCs w:val="20"/>
        </w:rPr>
        <w:t>low rate of complaints</w:t>
      </w:r>
      <w:r w:rsidR="00821081">
        <w:rPr>
          <w:rFonts w:ascii="Verdana" w:hAnsi="Verdana"/>
          <w:sz w:val="20"/>
          <w:szCs w:val="20"/>
        </w:rPr>
        <w:t xml:space="preserve"> has been reported in 2019</w:t>
      </w:r>
      <w:r w:rsidRPr="00042F16">
        <w:rPr>
          <w:rFonts w:ascii="Verdana" w:hAnsi="Verdana"/>
          <w:sz w:val="20"/>
          <w:szCs w:val="20"/>
        </w:rPr>
        <w:t xml:space="preserve"> </w:t>
      </w:r>
      <w:r w:rsidR="00C37439" w:rsidRPr="00042F16">
        <w:rPr>
          <w:rFonts w:ascii="Verdana" w:hAnsi="Verdana"/>
          <w:sz w:val="20"/>
          <w:szCs w:val="20"/>
        </w:rPr>
        <w:t xml:space="preserve"> </w:t>
      </w:r>
    </w:p>
    <w:p w14:paraId="42D5380E" w14:textId="2CC44048" w:rsidR="00C37439" w:rsidRPr="00042F16" w:rsidRDefault="00E57803"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The M</w:t>
      </w:r>
      <w:r w:rsidR="00C37439" w:rsidRPr="00042F16">
        <w:rPr>
          <w:rFonts w:ascii="Verdana" w:hAnsi="Verdana"/>
          <w:sz w:val="20"/>
          <w:szCs w:val="20"/>
        </w:rPr>
        <w:t>arketing</w:t>
      </w:r>
      <w:r w:rsidRPr="00042F16">
        <w:rPr>
          <w:rFonts w:ascii="Verdana" w:hAnsi="Verdana"/>
          <w:sz w:val="20"/>
          <w:szCs w:val="20"/>
        </w:rPr>
        <w:t xml:space="preserve"> department ensures</w:t>
      </w:r>
      <w:r w:rsidR="00C37439" w:rsidRPr="00042F16">
        <w:rPr>
          <w:rFonts w:ascii="Verdana" w:hAnsi="Verdana"/>
          <w:sz w:val="20"/>
          <w:szCs w:val="20"/>
        </w:rPr>
        <w:t xml:space="preserve"> the communication towards clients via internal and external media as well as internet. </w:t>
      </w:r>
    </w:p>
    <w:p w14:paraId="08D44F6D" w14:textId="0FE731B3" w:rsidR="00C37439" w:rsidRPr="00042F16" w:rsidRDefault="00C37439"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No adverse media</w:t>
      </w:r>
      <w:r w:rsidR="00E57803" w:rsidRPr="00042F16">
        <w:rPr>
          <w:rFonts w:ascii="Verdana" w:hAnsi="Verdana"/>
          <w:sz w:val="20"/>
          <w:szCs w:val="20"/>
        </w:rPr>
        <w:t xml:space="preserve"> has been</w:t>
      </w:r>
      <w:r w:rsidR="00821081">
        <w:rPr>
          <w:rFonts w:ascii="Verdana" w:hAnsi="Verdana"/>
          <w:sz w:val="20"/>
          <w:szCs w:val="20"/>
        </w:rPr>
        <w:t xml:space="preserve"> detected in 2019</w:t>
      </w:r>
      <w:r w:rsidRPr="00042F16">
        <w:rPr>
          <w:rFonts w:ascii="Verdana" w:hAnsi="Verdana"/>
          <w:sz w:val="20"/>
          <w:szCs w:val="20"/>
        </w:rPr>
        <w:t xml:space="preserve">. </w:t>
      </w:r>
      <w:r w:rsidR="00E57803" w:rsidRPr="00042F16">
        <w:rPr>
          <w:rFonts w:ascii="Verdana" w:hAnsi="Verdana"/>
          <w:sz w:val="20"/>
          <w:szCs w:val="20"/>
        </w:rPr>
        <w:t>The</w:t>
      </w:r>
      <w:r w:rsidR="007E7755" w:rsidRPr="00042F16">
        <w:rPr>
          <w:rFonts w:ascii="Verdana" w:hAnsi="Verdana"/>
          <w:sz w:val="20"/>
          <w:szCs w:val="20"/>
        </w:rPr>
        <w:t xml:space="preserve"> Company</w:t>
      </w:r>
      <w:r w:rsidR="00E57803" w:rsidRPr="00042F16">
        <w:rPr>
          <w:rFonts w:ascii="Verdana" w:hAnsi="Verdana"/>
          <w:sz w:val="20"/>
          <w:szCs w:val="20"/>
        </w:rPr>
        <w:t xml:space="preserve"> </w:t>
      </w:r>
      <w:r w:rsidR="00D361A4" w:rsidRPr="00042F16">
        <w:rPr>
          <w:rFonts w:ascii="Verdana" w:hAnsi="Verdana"/>
          <w:sz w:val="20"/>
          <w:szCs w:val="20"/>
        </w:rPr>
        <w:t>operates a close m</w:t>
      </w:r>
      <w:r w:rsidR="00E57803" w:rsidRPr="00042F16">
        <w:rPr>
          <w:rFonts w:ascii="Verdana" w:hAnsi="Verdana"/>
          <w:sz w:val="20"/>
          <w:szCs w:val="20"/>
        </w:rPr>
        <w:t>onitoring of the</w:t>
      </w:r>
      <w:r w:rsidR="00D361A4" w:rsidRPr="00042F16">
        <w:rPr>
          <w:rFonts w:ascii="Verdana" w:hAnsi="Verdana"/>
          <w:sz w:val="20"/>
          <w:szCs w:val="20"/>
        </w:rPr>
        <w:t xml:space="preserve"> e</w:t>
      </w:r>
      <w:r w:rsidRPr="00042F16">
        <w:rPr>
          <w:rFonts w:ascii="Verdana" w:hAnsi="Verdana"/>
          <w:sz w:val="20"/>
          <w:szCs w:val="20"/>
        </w:rPr>
        <w:t>-reputation and web</w:t>
      </w:r>
      <w:r w:rsidR="00E57803" w:rsidRPr="00042F16">
        <w:rPr>
          <w:rFonts w:ascii="Verdana" w:hAnsi="Verdana"/>
          <w:sz w:val="20"/>
          <w:szCs w:val="20"/>
        </w:rPr>
        <w:t xml:space="preserve"> analytics.</w:t>
      </w:r>
    </w:p>
    <w:p w14:paraId="53F7B002" w14:textId="072B9A09" w:rsidR="00C37439" w:rsidRPr="00042F16" w:rsidRDefault="00E57803"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The r</w:t>
      </w:r>
      <w:r w:rsidR="00C37439" w:rsidRPr="00042F16">
        <w:rPr>
          <w:rFonts w:ascii="Verdana" w:hAnsi="Verdana"/>
          <w:sz w:val="20"/>
          <w:szCs w:val="20"/>
        </w:rPr>
        <w:t xml:space="preserve">elations with authorities </w:t>
      </w:r>
      <w:r w:rsidRPr="00042F16">
        <w:rPr>
          <w:rFonts w:ascii="Verdana" w:hAnsi="Verdana"/>
          <w:sz w:val="20"/>
          <w:szCs w:val="20"/>
        </w:rPr>
        <w:t xml:space="preserve">is </w:t>
      </w:r>
      <w:r w:rsidR="00C37439" w:rsidRPr="00042F16">
        <w:rPr>
          <w:rFonts w:ascii="Verdana" w:hAnsi="Verdana"/>
          <w:sz w:val="20"/>
          <w:szCs w:val="20"/>
        </w:rPr>
        <w:t>based on confidence and transpar</w:t>
      </w:r>
      <w:r w:rsidRPr="00042F16">
        <w:rPr>
          <w:rFonts w:ascii="Verdana" w:hAnsi="Verdana"/>
          <w:sz w:val="20"/>
          <w:szCs w:val="20"/>
        </w:rPr>
        <w:t xml:space="preserve">ency: no warnings, injunctions or </w:t>
      </w:r>
      <w:r w:rsidR="00C37439" w:rsidRPr="00042F16">
        <w:rPr>
          <w:rFonts w:ascii="Verdana" w:hAnsi="Verdana"/>
          <w:sz w:val="20"/>
          <w:szCs w:val="20"/>
        </w:rPr>
        <w:t xml:space="preserve">sanctions received. </w:t>
      </w:r>
    </w:p>
    <w:p w14:paraId="60282B65" w14:textId="12A4BB6F" w:rsidR="00C37439" w:rsidRPr="00042F16" w:rsidRDefault="00E57803"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For new products/services/markets: there was</w:t>
      </w:r>
      <w:r w:rsidR="00C37439" w:rsidRPr="00042F16">
        <w:rPr>
          <w:rFonts w:ascii="Verdana" w:hAnsi="Verdana"/>
          <w:sz w:val="20"/>
          <w:szCs w:val="20"/>
        </w:rPr>
        <w:t xml:space="preserve"> significant change in business model, poli</w:t>
      </w:r>
      <w:r w:rsidR="00821081">
        <w:rPr>
          <w:rFonts w:ascii="Verdana" w:hAnsi="Verdana"/>
          <w:sz w:val="20"/>
          <w:szCs w:val="20"/>
        </w:rPr>
        <w:t>cy and scope of business in 2019</w:t>
      </w:r>
      <w:r w:rsidR="00C37439" w:rsidRPr="00042F16">
        <w:rPr>
          <w:rFonts w:ascii="Verdana" w:hAnsi="Verdana"/>
          <w:sz w:val="20"/>
          <w:szCs w:val="20"/>
        </w:rPr>
        <w:t xml:space="preserve">. </w:t>
      </w:r>
    </w:p>
    <w:p w14:paraId="0015A666" w14:textId="1E400388" w:rsidR="00C37439" w:rsidRPr="00042F16" w:rsidRDefault="00E57803"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Part of digitalis</w:t>
      </w:r>
      <w:r w:rsidR="00C37439" w:rsidRPr="00042F16">
        <w:rPr>
          <w:rFonts w:ascii="Verdana" w:hAnsi="Verdana"/>
          <w:sz w:val="20"/>
          <w:szCs w:val="20"/>
        </w:rPr>
        <w:t xml:space="preserve">ation projects are expected to improve monitoring. </w:t>
      </w:r>
    </w:p>
    <w:p w14:paraId="2C386E9F" w14:textId="0F1F5F98" w:rsidR="00490D8E" w:rsidRPr="00042F16" w:rsidRDefault="00C37439" w:rsidP="005B0625">
      <w:pPr>
        <w:pStyle w:val="ListParagraph"/>
        <w:numPr>
          <w:ilvl w:val="0"/>
          <w:numId w:val="31"/>
        </w:numPr>
        <w:spacing w:after="0" w:line="240" w:lineRule="auto"/>
        <w:rPr>
          <w:rFonts w:ascii="Verdana" w:hAnsi="Verdana"/>
          <w:sz w:val="20"/>
          <w:szCs w:val="20"/>
        </w:rPr>
      </w:pPr>
      <w:r w:rsidRPr="00042F16">
        <w:rPr>
          <w:rFonts w:ascii="Verdana" w:hAnsi="Verdana"/>
          <w:sz w:val="20"/>
          <w:szCs w:val="20"/>
        </w:rPr>
        <w:t>Due diligences (initial and ongoing) are performed to ensure a constant quality, integrity of service providers</w:t>
      </w:r>
      <w:r w:rsidR="00E57803" w:rsidRPr="00042F16">
        <w:rPr>
          <w:rFonts w:ascii="Verdana" w:hAnsi="Verdana"/>
          <w:sz w:val="20"/>
          <w:szCs w:val="20"/>
        </w:rPr>
        <w:t>.</w:t>
      </w:r>
    </w:p>
    <w:p w14:paraId="24EDF02B" w14:textId="77777777" w:rsidR="00C92E51" w:rsidRDefault="00C92E51" w:rsidP="005B0625">
      <w:pPr>
        <w:spacing w:after="0" w:line="240" w:lineRule="auto"/>
        <w:rPr>
          <w:rFonts w:ascii="Verdana" w:hAnsi="Verdana"/>
          <w:sz w:val="20"/>
          <w:szCs w:val="20"/>
        </w:rPr>
      </w:pPr>
    </w:p>
    <w:p w14:paraId="41A30CAE" w14:textId="3C3E68E9" w:rsidR="00E57803" w:rsidRPr="00042F16" w:rsidRDefault="00790224" w:rsidP="005B0625">
      <w:pPr>
        <w:spacing w:after="0" w:line="240" w:lineRule="auto"/>
        <w:rPr>
          <w:rFonts w:ascii="Verdana" w:hAnsi="Verdana"/>
          <w:sz w:val="20"/>
          <w:szCs w:val="20"/>
        </w:rPr>
      </w:pPr>
      <w:r w:rsidRPr="00042F16">
        <w:rPr>
          <w:rFonts w:ascii="Verdana" w:hAnsi="Verdana"/>
          <w:sz w:val="20"/>
          <w:szCs w:val="20"/>
        </w:rPr>
        <w:t>T</w:t>
      </w:r>
      <w:r w:rsidR="00E57803" w:rsidRPr="00042F16">
        <w:rPr>
          <w:rFonts w:ascii="Verdana" w:hAnsi="Verdana"/>
          <w:sz w:val="20"/>
          <w:szCs w:val="20"/>
        </w:rPr>
        <w:t xml:space="preserve">hose mitigating controls </w:t>
      </w:r>
      <w:r w:rsidR="000C0369" w:rsidRPr="00042F16">
        <w:rPr>
          <w:rFonts w:ascii="Verdana" w:hAnsi="Verdana"/>
          <w:sz w:val="20"/>
          <w:szCs w:val="20"/>
        </w:rPr>
        <w:t>do not</w:t>
      </w:r>
      <w:r w:rsidRPr="00042F16">
        <w:rPr>
          <w:rFonts w:ascii="Verdana" w:hAnsi="Verdana"/>
          <w:sz w:val="20"/>
          <w:szCs w:val="20"/>
        </w:rPr>
        <w:t xml:space="preserve"> critically impact the residual risk as it still remains significant. However, the likelihood of occurrence is very low.</w:t>
      </w:r>
    </w:p>
    <w:p w14:paraId="57236488" w14:textId="77777777" w:rsidR="00C92E51" w:rsidRDefault="00C92E51" w:rsidP="005B0625">
      <w:pPr>
        <w:spacing w:after="0" w:line="240" w:lineRule="auto"/>
        <w:rPr>
          <w:rFonts w:ascii="Verdana" w:hAnsi="Verdana"/>
          <w:sz w:val="20"/>
          <w:szCs w:val="20"/>
        </w:rPr>
      </w:pPr>
    </w:p>
    <w:p w14:paraId="336B6FCA" w14:textId="03D4971E" w:rsidR="00452716" w:rsidRDefault="00790224" w:rsidP="005B0625">
      <w:pPr>
        <w:spacing w:after="0" w:line="240" w:lineRule="auto"/>
        <w:rPr>
          <w:rFonts w:ascii="Verdana" w:hAnsi="Verdana"/>
          <w:sz w:val="20"/>
          <w:szCs w:val="20"/>
        </w:rPr>
      </w:pPr>
      <w:r w:rsidRPr="00042F16">
        <w:rPr>
          <w:rFonts w:ascii="Verdana" w:hAnsi="Verdana"/>
          <w:sz w:val="20"/>
          <w:szCs w:val="20"/>
        </w:rPr>
        <w:t>If a new risk arises</w:t>
      </w:r>
      <w:r w:rsidR="00B06716" w:rsidRPr="00042F16">
        <w:rPr>
          <w:rFonts w:ascii="Verdana" w:hAnsi="Verdana"/>
          <w:sz w:val="20"/>
          <w:szCs w:val="20"/>
        </w:rPr>
        <w:t>, the Company will have to activate an ac</w:t>
      </w:r>
      <w:r w:rsidR="000C0369" w:rsidRPr="00042F16">
        <w:rPr>
          <w:rFonts w:ascii="Verdana" w:hAnsi="Verdana"/>
          <w:sz w:val="20"/>
          <w:szCs w:val="20"/>
        </w:rPr>
        <w:t xml:space="preserve">tion plan that will have </w:t>
      </w:r>
      <w:r w:rsidR="005C03C4" w:rsidRPr="00042F16">
        <w:rPr>
          <w:rFonts w:ascii="Verdana" w:hAnsi="Verdana"/>
          <w:sz w:val="20"/>
          <w:szCs w:val="20"/>
        </w:rPr>
        <w:t>financial consequences</w:t>
      </w:r>
      <w:r w:rsidR="00B06716" w:rsidRPr="00042F16">
        <w:rPr>
          <w:rFonts w:ascii="Verdana" w:hAnsi="Verdana"/>
          <w:sz w:val="20"/>
          <w:szCs w:val="20"/>
        </w:rPr>
        <w:t>. Based on the cost required to implement an action plan to restore the reputation (new</w:t>
      </w:r>
      <w:r w:rsidR="001A7EC7" w:rsidRPr="00042F16">
        <w:rPr>
          <w:rFonts w:ascii="Verdana" w:hAnsi="Verdana"/>
          <w:sz w:val="20"/>
          <w:szCs w:val="20"/>
        </w:rPr>
        <w:t>s</w:t>
      </w:r>
      <w:r w:rsidR="00B06716" w:rsidRPr="00042F16">
        <w:rPr>
          <w:rFonts w:ascii="Verdana" w:hAnsi="Verdana"/>
          <w:sz w:val="20"/>
          <w:szCs w:val="20"/>
        </w:rPr>
        <w:t>paper articles, busine</w:t>
      </w:r>
      <w:r w:rsidR="00D20FBA" w:rsidRPr="00042F16">
        <w:rPr>
          <w:rFonts w:ascii="Verdana" w:hAnsi="Verdana"/>
          <w:sz w:val="20"/>
          <w:szCs w:val="20"/>
        </w:rPr>
        <w:t xml:space="preserve">ss events, external help, etc…), </w:t>
      </w:r>
      <w:r w:rsidR="00DF0FC6" w:rsidRPr="00042F16">
        <w:rPr>
          <w:rFonts w:ascii="Verdana" w:hAnsi="Verdana"/>
          <w:sz w:val="20"/>
          <w:szCs w:val="20"/>
        </w:rPr>
        <w:t>t</w:t>
      </w:r>
      <w:r w:rsidR="00262CB1" w:rsidRPr="00042F16">
        <w:rPr>
          <w:rFonts w:ascii="Verdana" w:hAnsi="Verdana"/>
          <w:sz w:val="20"/>
          <w:szCs w:val="20"/>
        </w:rPr>
        <w:t>he Company has</w:t>
      </w:r>
      <w:r w:rsidR="00B06716" w:rsidRPr="00042F16">
        <w:rPr>
          <w:rFonts w:ascii="Verdana" w:hAnsi="Verdana"/>
          <w:sz w:val="20"/>
          <w:szCs w:val="20"/>
        </w:rPr>
        <w:t xml:space="preserve"> allocate</w:t>
      </w:r>
      <w:r w:rsidR="00262CB1" w:rsidRPr="00042F16">
        <w:rPr>
          <w:rFonts w:ascii="Verdana" w:hAnsi="Verdana"/>
          <w:sz w:val="20"/>
          <w:szCs w:val="20"/>
        </w:rPr>
        <w:t>d</w:t>
      </w:r>
      <w:r w:rsidR="00B06716" w:rsidRPr="00042F16">
        <w:rPr>
          <w:rFonts w:ascii="Verdana" w:hAnsi="Verdana"/>
          <w:sz w:val="20"/>
          <w:szCs w:val="20"/>
        </w:rPr>
        <w:t xml:space="preserve"> a capital requirement of </w:t>
      </w:r>
      <w:r w:rsidR="00C72F32" w:rsidRPr="00042F16">
        <w:rPr>
          <w:rFonts w:ascii="Verdana" w:hAnsi="Verdana"/>
          <w:sz w:val="20"/>
          <w:szCs w:val="20"/>
        </w:rPr>
        <w:t xml:space="preserve">EUR </w:t>
      </w:r>
      <w:r w:rsidR="00B06716" w:rsidRPr="00042F16">
        <w:rPr>
          <w:rFonts w:ascii="Verdana" w:hAnsi="Verdana"/>
          <w:sz w:val="20"/>
          <w:szCs w:val="20"/>
        </w:rPr>
        <w:t>200</w:t>
      </w:r>
      <w:r w:rsidR="00262CB1" w:rsidRPr="00042F16">
        <w:rPr>
          <w:rFonts w:ascii="Verdana" w:hAnsi="Verdana"/>
          <w:sz w:val="20"/>
          <w:szCs w:val="20"/>
        </w:rPr>
        <w:t>,</w:t>
      </w:r>
      <w:r w:rsidR="00B06716" w:rsidRPr="00042F16">
        <w:rPr>
          <w:rFonts w:ascii="Verdana" w:hAnsi="Verdana"/>
          <w:sz w:val="20"/>
          <w:szCs w:val="20"/>
        </w:rPr>
        <w:t xml:space="preserve">000. </w:t>
      </w:r>
    </w:p>
    <w:p w14:paraId="0DB607FC" w14:textId="77777777" w:rsidR="00C92E51" w:rsidRPr="00042F16" w:rsidRDefault="00C92E51" w:rsidP="00C92E51">
      <w:pPr>
        <w:spacing w:after="0" w:line="240" w:lineRule="auto"/>
        <w:rPr>
          <w:rFonts w:ascii="Verdana" w:hAnsi="Verdana"/>
          <w:sz w:val="20"/>
          <w:szCs w:val="20"/>
        </w:rPr>
      </w:pPr>
    </w:p>
    <w:p w14:paraId="384016AD" w14:textId="662D9F40" w:rsidR="007133BD" w:rsidRPr="00C92E51" w:rsidRDefault="007133BD" w:rsidP="00C92E51">
      <w:pPr>
        <w:pStyle w:val="Heading1"/>
        <w:spacing w:before="0" w:after="0" w:line="240" w:lineRule="auto"/>
        <w:ind w:left="709" w:hanging="720"/>
        <w:rPr>
          <w:rFonts w:ascii="Verdana" w:hAnsi="Verdana"/>
          <w:b/>
          <w:color w:val="6CACE4"/>
          <w:sz w:val="24"/>
          <w:szCs w:val="24"/>
          <w:u w:val="single"/>
        </w:rPr>
      </w:pPr>
      <w:bookmarkStart w:id="85" w:name="_Toc20823140"/>
      <w:bookmarkStart w:id="86" w:name="_Toc21277592"/>
      <w:bookmarkStart w:id="87" w:name="_Toc21599738"/>
      <w:bookmarkStart w:id="88" w:name="_Toc21617586"/>
      <w:bookmarkStart w:id="89" w:name="_Toc20823141"/>
      <w:bookmarkStart w:id="90" w:name="_Toc21277593"/>
      <w:bookmarkStart w:id="91" w:name="_Toc21599739"/>
      <w:bookmarkStart w:id="92" w:name="_Toc21617587"/>
      <w:bookmarkStart w:id="93" w:name="_Toc20823142"/>
      <w:bookmarkStart w:id="94" w:name="_Toc21277594"/>
      <w:bookmarkStart w:id="95" w:name="_Toc21599740"/>
      <w:bookmarkStart w:id="96" w:name="_Toc21617588"/>
      <w:bookmarkStart w:id="97" w:name="_Toc20823143"/>
      <w:bookmarkStart w:id="98" w:name="_Toc21277595"/>
      <w:bookmarkStart w:id="99" w:name="_Toc21599741"/>
      <w:bookmarkStart w:id="100" w:name="_Toc21617589"/>
      <w:bookmarkStart w:id="101" w:name="_Toc2271661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92E51">
        <w:rPr>
          <w:rFonts w:ascii="Verdana" w:hAnsi="Verdana"/>
          <w:b/>
          <w:color w:val="6CACE4"/>
          <w:sz w:val="24"/>
          <w:szCs w:val="24"/>
          <w:u w:val="single"/>
        </w:rPr>
        <w:t>Asset encumbrance (Art. 443 of CRR)</w:t>
      </w:r>
      <w:bookmarkEnd w:id="101"/>
    </w:p>
    <w:p w14:paraId="101A4782" w14:textId="77777777" w:rsidR="00C92E51" w:rsidRPr="00C92E51" w:rsidRDefault="00C92E51" w:rsidP="00C92E51">
      <w:pPr>
        <w:spacing w:after="0" w:line="240" w:lineRule="auto"/>
      </w:pPr>
    </w:p>
    <w:p w14:paraId="0EB07990" w14:textId="158C8183" w:rsidR="00452716" w:rsidRDefault="00490D8E" w:rsidP="00C92E51">
      <w:pPr>
        <w:spacing w:after="0" w:line="240" w:lineRule="auto"/>
        <w:rPr>
          <w:rFonts w:ascii="Verdana" w:hAnsi="Verdana"/>
          <w:sz w:val="20"/>
          <w:szCs w:val="20"/>
        </w:rPr>
      </w:pPr>
      <w:r w:rsidRPr="00042F16">
        <w:rPr>
          <w:rFonts w:ascii="Verdana" w:hAnsi="Verdana"/>
          <w:sz w:val="20"/>
          <w:szCs w:val="20"/>
        </w:rPr>
        <w:t>As of 31 De</w:t>
      </w:r>
      <w:r w:rsidR="00821081">
        <w:rPr>
          <w:rFonts w:ascii="Verdana" w:hAnsi="Verdana"/>
          <w:sz w:val="20"/>
          <w:szCs w:val="20"/>
        </w:rPr>
        <w:t>cember 2019</w:t>
      </w:r>
      <w:r w:rsidRPr="00042F16">
        <w:rPr>
          <w:rFonts w:ascii="Verdana" w:hAnsi="Verdana"/>
          <w:sz w:val="20"/>
          <w:szCs w:val="20"/>
        </w:rPr>
        <w:t xml:space="preserve">,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does not have any encumbered assets.</w:t>
      </w:r>
    </w:p>
    <w:p w14:paraId="561D5548" w14:textId="77777777" w:rsidR="00386551" w:rsidRDefault="00386551" w:rsidP="00C92E51">
      <w:pPr>
        <w:spacing w:after="0" w:line="240" w:lineRule="auto"/>
        <w:rPr>
          <w:rFonts w:ascii="Verdana" w:hAnsi="Verdana"/>
          <w:sz w:val="20"/>
          <w:szCs w:val="20"/>
        </w:rPr>
      </w:pPr>
    </w:p>
    <w:p w14:paraId="154ECC59" w14:textId="77777777" w:rsidR="00386551" w:rsidRDefault="00386551" w:rsidP="00C92E51">
      <w:pPr>
        <w:spacing w:after="0" w:line="240" w:lineRule="auto"/>
        <w:rPr>
          <w:rFonts w:ascii="Verdana" w:hAnsi="Verdana"/>
          <w:sz w:val="20"/>
          <w:szCs w:val="20"/>
        </w:rPr>
      </w:pPr>
    </w:p>
    <w:p w14:paraId="09DDADB6" w14:textId="77777777" w:rsidR="00C92E51" w:rsidRPr="00042F16" w:rsidRDefault="00C92E51" w:rsidP="00C92E51">
      <w:pPr>
        <w:spacing w:after="0" w:line="240" w:lineRule="auto"/>
        <w:rPr>
          <w:rFonts w:ascii="Verdana" w:eastAsiaTheme="majorEastAsia" w:hAnsi="Verdana" w:cstheme="majorBidi"/>
          <w:color w:val="C00000"/>
          <w:sz w:val="20"/>
          <w:szCs w:val="20"/>
        </w:rPr>
      </w:pPr>
    </w:p>
    <w:p w14:paraId="52739E74" w14:textId="184448FB" w:rsidR="007133BD" w:rsidRPr="00C92E51" w:rsidRDefault="007133BD" w:rsidP="00C92E51">
      <w:pPr>
        <w:pStyle w:val="Heading1"/>
        <w:spacing w:before="0" w:after="0" w:line="240" w:lineRule="auto"/>
        <w:ind w:left="709" w:hanging="720"/>
        <w:rPr>
          <w:rFonts w:ascii="Verdana" w:hAnsi="Verdana"/>
          <w:b/>
          <w:color w:val="6CACE4"/>
          <w:sz w:val="24"/>
          <w:szCs w:val="24"/>
          <w:u w:val="single"/>
        </w:rPr>
      </w:pPr>
      <w:bookmarkStart w:id="102" w:name="_Toc22716615"/>
      <w:r w:rsidRPr="00C92E51">
        <w:rPr>
          <w:rFonts w:ascii="Verdana" w:hAnsi="Verdana"/>
          <w:b/>
          <w:color w:val="6CACE4"/>
          <w:sz w:val="24"/>
          <w:szCs w:val="24"/>
          <w:u w:val="single"/>
        </w:rPr>
        <w:lastRenderedPageBreak/>
        <w:t>Leverage ratio (Art. 451 of CRR)</w:t>
      </w:r>
      <w:bookmarkEnd w:id="102"/>
    </w:p>
    <w:p w14:paraId="0676C38A" w14:textId="77777777" w:rsidR="00C92E51" w:rsidRPr="00C92E51" w:rsidRDefault="00C92E51" w:rsidP="00C92E51">
      <w:pPr>
        <w:spacing w:after="0" w:line="240" w:lineRule="auto"/>
      </w:pPr>
    </w:p>
    <w:p w14:paraId="54CCC683" w14:textId="77777777" w:rsidR="00BC46FF" w:rsidRPr="0065464B" w:rsidRDefault="00224FCA" w:rsidP="00BC46FF">
      <w:pPr>
        <w:rPr>
          <w:rFonts w:ascii="Verdana" w:hAnsi="Verdana"/>
          <w:sz w:val="20"/>
          <w:szCs w:val="20"/>
        </w:rPr>
      </w:pPr>
      <w:r w:rsidRPr="00042F16">
        <w:rPr>
          <w:rFonts w:ascii="Verdana" w:hAnsi="Verdana"/>
          <w:sz w:val="20"/>
          <w:szCs w:val="20"/>
        </w:rPr>
        <w:t xml:space="preserve">The Leverage ratio of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is part of the Extended </w:t>
      </w:r>
      <w:proofErr w:type="spellStart"/>
      <w:r w:rsidRPr="00042F16">
        <w:rPr>
          <w:rFonts w:ascii="Verdana" w:hAnsi="Verdana"/>
          <w:sz w:val="20"/>
          <w:szCs w:val="20"/>
        </w:rPr>
        <w:t>Corep</w:t>
      </w:r>
      <w:proofErr w:type="spellEnd"/>
      <w:r w:rsidRPr="00042F16">
        <w:rPr>
          <w:rFonts w:ascii="Verdana" w:hAnsi="Verdana"/>
          <w:sz w:val="20"/>
          <w:szCs w:val="20"/>
        </w:rPr>
        <w:t xml:space="preserve"> and disclosed in report C47.00 that is reported on quarterly basis to the CSSF. </w:t>
      </w:r>
      <w:r w:rsidR="00BC46FF" w:rsidRPr="0065464B">
        <w:rPr>
          <w:rFonts w:ascii="Verdana" w:hAnsi="Verdana"/>
          <w:sz w:val="20"/>
          <w:szCs w:val="20"/>
        </w:rPr>
        <w:t>Since August 2019, the Company has been exempted to deliver the Leverage Ratio.</w:t>
      </w:r>
    </w:p>
    <w:p w14:paraId="3BEF0BCF" w14:textId="041ADB1A" w:rsidR="00CB12D9" w:rsidRPr="00042F16" w:rsidRDefault="00CB12D9" w:rsidP="00C92E51">
      <w:pPr>
        <w:spacing w:after="0" w:line="240" w:lineRule="auto"/>
        <w:jc w:val="left"/>
        <w:rPr>
          <w:rFonts w:ascii="Verdana" w:eastAsiaTheme="majorEastAsia" w:hAnsi="Verdana" w:cstheme="majorBidi"/>
          <w:color w:val="C00000"/>
          <w:sz w:val="20"/>
          <w:szCs w:val="20"/>
          <w:highlight w:val="lightGray"/>
        </w:rPr>
      </w:pPr>
    </w:p>
    <w:p w14:paraId="6C34B1CF" w14:textId="58914208" w:rsidR="007133BD" w:rsidRPr="00C92E51" w:rsidRDefault="007133BD" w:rsidP="00C92E51">
      <w:pPr>
        <w:pStyle w:val="Heading1"/>
        <w:spacing w:before="0" w:after="0" w:line="240" w:lineRule="auto"/>
        <w:ind w:left="709" w:hanging="720"/>
        <w:rPr>
          <w:rFonts w:ascii="Verdana" w:hAnsi="Verdana"/>
          <w:b/>
          <w:sz w:val="24"/>
          <w:szCs w:val="24"/>
          <w:u w:val="single"/>
        </w:rPr>
      </w:pPr>
      <w:bookmarkStart w:id="103" w:name="_Toc20823146"/>
      <w:bookmarkStart w:id="104" w:name="_Toc21277598"/>
      <w:bookmarkStart w:id="105" w:name="_Toc21599744"/>
      <w:bookmarkStart w:id="106" w:name="_Toc21617592"/>
      <w:bookmarkStart w:id="107" w:name="_Toc22716616"/>
      <w:bookmarkEnd w:id="103"/>
      <w:bookmarkEnd w:id="104"/>
      <w:bookmarkEnd w:id="105"/>
      <w:bookmarkEnd w:id="106"/>
      <w:r w:rsidRPr="00C92E51">
        <w:rPr>
          <w:rFonts w:ascii="Verdana" w:hAnsi="Verdana"/>
          <w:b/>
          <w:color w:val="6CACE4"/>
          <w:sz w:val="24"/>
          <w:szCs w:val="24"/>
          <w:u w:val="single"/>
        </w:rPr>
        <w:t>Remuneration policy (Art. 450 of CRR)</w:t>
      </w:r>
      <w:bookmarkEnd w:id="107"/>
    </w:p>
    <w:p w14:paraId="31D7D921" w14:textId="77777777" w:rsidR="00C92E51" w:rsidRPr="00C92E51" w:rsidRDefault="00C92E51" w:rsidP="00C92E51">
      <w:pPr>
        <w:spacing w:after="0" w:line="240" w:lineRule="auto"/>
      </w:pPr>
    </w:p>
    <w:p w14:paraId="00EB9EF1" w14:textId="0367EA49" w:rsidR="00DB28AA" w:rsidRPr="00042F16" w:rsidRDefault="002E38F4" w:rsidP="00C92E51">
      <w:pPr>
        <w:tabs>
          <w:tab w:val="left" w:pos="709"/>
        </w:tabs>
        <w:spacing w:after="0" w:line="240" w:lineRule="auto"/>
        <w:rPr>
          <w:rFonts w:ascii="Verdana" w:hAnsi="Verdana"/>
          <w:sz w:val="20"/>
          <w:szCs w:val="20"/>
        </w:rPr>
      </w:pPr>
      <w:r w:rsidRPr="00042F16">
        <w:rPr>
          <w:rFonts w:ascii="Verdana" w:hAnsi="Verdana"/>
          <w:sz w:val="20"/>
          <w:szCs w:val="20"/>
        </w:rPr>
        <w:t>The remuneration policy is established in such way to attract, retain and motivate highly qualified employees in their fields of</w:t>
      </w:r>
      <w:r w:rsidR="00DB28AA" w:rsidRPr="00042F16">
        <w:rPr>
          <w:rFonts w:ascii="Verdana" w:hAnsi="Verdana"/>
          <w:sz w:val="20"/>
          <w:szCs w:val="20"/>
        </w:rPr>
        <w:t xml:space="preserve"> expertise. It considers a sound risk management </w:t>
      </w:r>
      <w:r w:rsidRPr="00042F16">
        <w:rPr>
          <w:rFonts w:ascii="Verdana" w:hAnsi="Verdana"/>
          <w:sz w:val="20"/>
          <w:szCs w:val="20"/>
        </w:rPr>
        <w:t>and is aligned with the long-t</w:t>
      </w:r>
      <w:r w:rsidR="00DB28AA" w:rsidRPr="00042F16">
        <w:rPr>
          <w:rFonts w:ascii="Verdana" w:hAnsi="Verdana"/>
          <w:sz w:val="20"/>
          <w:szCs w:val="20"/>
        </w:rPr>
        <w:t>erm strategy and objectives of the C</w:t>
      </w:r>
      <w:r w:rsidRPr="00042F16">
        <w:rPr>
          <w:rFonts w:ascii="Verdana" w:hAnsi="Verdana"/>
          <w:sz w:val="20"/>
          <w:szCs w:val="20"/>
        </w:rPr>
        <w:t>ompany. It does not encourage excessive risk-taking.</w:t>
      </w:r>
    </w:p>
    <w:p w14:paraId="155416FD" w14:textId="77777777" w:rsidR="00650143" w:rsidRDefault="00650143" w:rsidP="00C92E51">
      <w:pPr>
        <w:spacing w:after="0" w:line="240" w:lineRule="auto"/>
        <w:rPr>
          <w:rFonts w:ascii="Verdana" w:hAnsi="Verdana"/>
          <w:sz w:val="20"/>
          <w:szCs w:val="20"/>
        </w:rPr>
      </w:pPr>
    </w:p>
    <w:p w14:paraId="7481FACC" w14:textId="308FDD4D" w:rsidR="002E38F4" w:rsidRPr="00042F16" w:rsidRDefault="002E38F4" w:rsidP="00C92E51">
      <w:pPr>
        <w:spacing w:after="0" w:line="240" w:lineRule="auto"/>
        <w:rPr>
          <w:rFonts w:ascii="Verdana" w:hAnsi="Verdana"/>
          <w:sz w:val="20"/>
          <w:szCs w:val="20"/>
        </w:rPr>
      </w:pPr>
      <w:r w:rsidRPr="00042F16">
        <w:rPr>
          <w:rFonts w:ascii="Verdana" w:hAnsi="Verdana"/>
          <w:sz w:val="20"/>
          <w:szCs w:val="20"/>
        </w:rPr>
        <w:t>It is inspired by the remuneration policies</w:t>
      </w:r>
      <w:r w:rsidR="009B31E7" w:rsidRPr="00042F16">
        <w:rPr>
          <w:rFonts w:ascii="Verdana" w:hAnsi="Verdana"/>
          <w:sz w:val="20"/>
          <w:szCs w:val="20"/>
        </w:rPr>
        <w:t xml:space="preserve"> applied amongst </w:t>
      </w:r>
      <w:r w:rsidR="00FD3485" w:rsidRPr="00042F16">
        <w:rPr>
          <w:rFonts w:ascii="Verdana" w:hAnsi="Verdana"/>
          <w:sz w:val="20"/>
          <w:szCs w:val="20"/>
        </w:rPr>
        <w:t xml:space="preserve">other </w:t>
      </w:r>
      <w:r w:rsidR="009B31E7" w:rsidRPr="00042F16">
        <w:rPr>
          <w:rFonts w:ascii="Verdana" w:hAnsi="Verdana"/>
          <w:sz w:val="20"/>
          <w:szCs w:val="20"/>
        </w:rPr>
        <w:t xml:space="preserve">financial institutions and in particular the </w:t>
      </w:r>
      <w:r w:rsidRPr="00042F16">
        <w:rPr>
          <w:rFonts w:ascii="Verdana" w:hAnsi="Verdana"/>
          <w:sz w:val="20"/>
          <w:szCs w:val="20"/>
        </w:rPr>
        <w:t>collective agreement of banks</w:t>
      </w:r>
      <w:r w:rsidR="00FD3485" w:rsidRPr="00042F16">
        <w:rPr>
          <w:rFonts w:ascii="Verdana" w:hAnsi="Verdana"/>
          <w:sz w:val="20"/>
          <w:szCs w:val="20"/>
        </w:rPr>
        <w:t xml:space="preserve"> in Luxembourg</w:t>
      </w:r>
      <w:r w:rsidRPr="00042F16">
        <w:rPr>
          <w:rFonts w:ascii="Verdana" w:hAnsi="Verdana"/>
          <w:sz w:val="20"/>
          <w:szCs w:val="20"/>
        </w:rPr>
        <w:t>. It ens</w:t>
      </w:r>
      <w:r w:rsidR="009B31E7" w:rsidRPr="00042F16">
        <w:rPr>
          <w:rFonts w:ascii="Verdana" w:hAnsi="Verdana"/>
          <w:sz w:val="20"/>
          <w:szCs w:val="20"/>
        </w:rPr>
        <w:t xml:space="preserve">ures that the requirements for </w:t>
      </w:r>
      <w:r w:rsidRPr="00042F16">
        <w:rPr>
          <w:rFonts w:ascii="Verdana" w:hAnsi="Verdana"/>
          <w:sz w:val="20"/>
          <w:szCs w:val="20"/>
        </w:rPr>
        <w:t>conflict of interest and enhances investor protection</w:t>
      </w:r>
      <w:r w:rsidR="00A808A0" w:rsidRPr="00042F16">
        <w:rPr>
          <w:rFonts w:ascii="Verdana" w:hAnsi="Verdana"/>
          <w:sz w:val="20"/>
          <w:szCs w:val="20"/>
        </w:rPr>
        <w:t xml:space="preserve"> are met</w:t>
      </w:r>
      <w:r w:rsidRPr="00042F16">
        <w:rPr>
          <w:rFonts w:ascii="Verdana" w:hAnsi="Verdana"/>
          <w:sz w:val="20"/>
          <w:szCs w:val="20"/>
        </w:rPr>
        <w:t xml:space="preserve">. </w:t>
      </w:r>
    </w:p>
    <w:p w14:paraId="769D6F04" w14:textId="77777777" w:rsidR="00B6671E" w:rsidRPr="00042F16" w:rsidRDefault="00B6671E" w:rsidP="00C92E51">
      <w:pPr>
        <w:spacing w:after="0" w:line="240" w:lineRule="auto"/>
        <w:rPr>
          <w:rFonts w:ascii="Verdana" w:hAnsi="Verdana"/>
          <w:sz w:val="20"/>
          <w:szCs w:val="20"/>
        </w:rPr>
      </w:pPr>
    </w:p>
    <w:p w14:paraId="127DC9B4" w14:textId="3DEF3A06" w:rsidR="009B31E7" w:rsidRPr="00C92E51" w:rsidRDefault="009B31E7" w:rsidP="00C92E51">
      <w:pPr>
        <w:pStyle w:val="Heading2"/>
        <w:spacing w:before="0" w:line="240" w:lineRule="auto"/>
        <w:ind w:left="709"/>
        <w:rPr>
          <w:rFonts w:ascii="Verdana" w:hAnsi="Verdana"/>
          <w:b/>
          <w:color w:val="6CACE4"/>
          <w:sz w:val="22"/>
          <w:szCs w:val="22"/>
        </w:rPr>
      </w:pPr>
      <w:bookmarkStart w:id="108" w:name="_Toc22716617"/>
      <w:r w:rsidRPr="00C92E51">
        <w:rPr>
          <w:rFonts w:ascii="Verdana" w:hAnsi="Verdana"/>
          <w:b/>
          <w:color w:val="6CACE4"/>
          <w:sz w:val="22"/>
          <w:szCs w:val="22"/>
        </w:rPr>
        <w:t>Governance</w:t>
      </w:r>
      <w:bookmarkEnd w:id="108"/>
    </w:p>
    <w:p w14:paraId="40B1A420" w14:textId="77777777" w:rsidR="00C92E51" w:rsidRPr="00C92E51" w:rsidRDefault="00C92E51" w:rsidP="00C92E51">
      <w:pPr>
        <w:spacing w:after="0" w:line="240" w:lineRule="auto"/>
        <w:ind w:left="709" w:hanging="720"/>
        <w:rPr>
          <w:b/>
          <w:color w:val="6CACE4"/>
        </w:rPr>
      </w:pPr>
    </w:p>
    <w:p w14:paraId="1D91D5FE" w14:textId="7B8C5A91" w:rsidR="009B31E7" w:rsidRPr="00C92E51" w:rsidRDefault="00C92E51" w:rsidP="00C92E51">
      <w:pPr>
        <w:pStyle w:val="Heading3"/>
        <w:spacing w:before="0" w:line="240" w:lineRule="auto"/>
        <w:ind w:left="709" w:hanging="720"/>
        <w:rPr>
          <w:rFonts w:ascii="Verdana" w:hAnsi="Verdana"/>
          <w:b/>
          <w:color w:val="6CACE4"/>
          <w:sz w:val="22"/>
          <w:szCs w:val="22"/>
        </w:rPr>
      </w:pPr>
      <w:bookmarkStart w:id="109" w:name="_Toc22716618"/>
      <w:r>
        <w:rPr>
          <w:rFonts w:ascii="Verdana" w:hAnsi="Verdana"/>
          <w:b/>
          <w:color w:val="6CACE4"/>
          <w:sz w:val="22"/>
          <w:szCs w:val="22"/>
        </w:rPr>
        <w:t xml:space="preserve"> </w:t>
      </w:r>
      <w:r w:rsidR="009B31E7" w:rsidRPr="00C92E51">
        <w:rPr>
          <w:rFonts w:ascii="Verdana" w:hAnsi="Verdana"/>
          <w:b/>
          <w:color w:val="6CACE4"/>
          <w:sz w:val="22"/>
          <w:szCs w:val="22"/>
        </w:rPr>
        <w:t>Board of Directors</w:t>
      </w:r>
      <w:bookmarkEnd w:id="109"/>
    </w:p>
    <w:p w14:paraId="7135CBE1" w14:textId="77777777" w:rsidR="00C92E51" w:rsidRPr="00C92E51" w:rsidRDefault="00C92E51" w:rsidP="00C92E51">
      <w:pPr>
        <w:spacing w:after="0" w:line="240" w:lineRule="auto"/>
      </w:pPr>
    </w:p>
    <w:p w14:paraId="494F86BA" w14:textId="0951D285" w:rsidR="009B31E7" w:rsidRPr="00042F16" w:rsidRDefault="009B31E7" w:rsidP="00C92E51">
      <w:pPr>
        <w:spacing w:after="0" w:line="240" w:lineRule="auto"/>
        <w:rPr>
          <w:rFonts w:ascii="Verdana" w:hAnsi="Verdana"/>
          <w:sz w:val="20"/>
          <w:szCs w:val="20"/>
        </w:rPr>
      </w:pPr>
      <w:r w:rsidRPr="00042F16">
        <w:rPr>
          <w:rFonts w:ascii="Verdana" w:hAnsi="Verdana"/>
          <w:sz w:val="20"/>
          <w:szCs w:val="20"/>
        </w:rPr>
        <w:t xml:space="preserve">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of Foyer S.A., the parent company of </w:t>
      </w:r>
      <w:r w:rsidR="00DF0FC6" w:rsidRPr="00042F16">
        <w:rPr>
          <w:rFonts w:ascii="Verdana" w:hAnsi="Verdana"/>
          <w:sz w:val="20"/>
          <w:szCs w:val="20"/>
        </w:rPr>
        <w:t>t</w:t>
      </w:r>
      <w:r w:rsidR="00957371" w:rsidRPr="00042F16">
        <w:rPr>
          <w:rFonts w:ascii="Verdana" w:hAnsi="Verdana"/>
          <w:sz w:val="20"/>
          <w:szCs w:val="20"/>
        </w:rPr>
        <w:t>he Company</w:t>
      </w:r>
      <w:r w:rsidR="000A49CC" w:rsidRPr="00042F16">
        <w:rPr>
          <w:rFonts w:ascii="Verdana" w:hAnsi="Verdana"/>
          <w:sz w:val="20"/>
          <w:szCs w:val="20"/>
        </w:rPr>
        <w:t>:</w:t>
      </w:r>
      <w:r w:rsidRPr="00042F16">
        <w:rPr>
          <w:rFonts w:ascii="Verdana" w:hAnsi="Verdana"/>
          <w:sz w:val="20"/>
          <w:szCs w:val="20"/>
        </w:rPr>
        <w:t xml:space="preserve"> </w:t>
      </w:r>
    </w:p>
    <w:p w14:paraId="6ECAA3F7" w14:textId="6C5C79C7" w:rsidR="009B31E7" w:rsidRPr="00042F16" w:rsidRDefault="009B31E7" w:rsidP="00C92E51">
      <w:pPr>
        <w:pStyle w:val="ListParagraph"/>
        <w:numPr>
          <w:ilvl w:val="0"/>
          <w:numId w:val="22"/>
        </w:numPr>
        <w:spacing w:after="0" w:line="240" w:lineRule="auto"/>
        <w:rPr>
          <w:rFonts w:ascii="Verdana" w:hAnsi="Verdana"/>
          <w:sz w:val="20"/>
          <w:szCs w:val="20"/>
        </w:rPr>
      </w:pPr>
      <w:r w:rsidRPr="00042F16">
        <w:rPr>
          <w:rFonts w:ascii="Verdana" w:hAnsi="Verdana"/>
          <w:sz w:val="20"/>
          <w:szCs w:val="20"/>
        </w:rPr>
        <w:t xml:space="preserve">Establishes and approves the general principles determining the </w:t>
      </w:r>
      <w:r w:rsidR="00464D97" w:rsidRPr="00042F16">
        <w:rPr>
          <w:rFonts w:ascii="Verdana" w:hAnsi="Verdana"/>
          <w:sz w:val="20"/>
          <w:szCs w:val="20"/>
        </w:rPr>
        <w:t xml:space="preserve">remuneration </w:t>
      </w:r>
      <w:r w:rsidR="00B70D79" w:rsidRPr="00042F16">
        <w:rPr>
          <w:rFonts w:ascii="Verdana" w:hAnsi="Verdana"/>
          <w:sz w:val="20"/>
          <w:szCs w:val="20"/>
        </w:rPr>
        <w:t>policy;</w:t>
      </w:r>
    </w:p>
    <w:p w14:paraId="02F2C496" w14:textId="27C04FBC" w:rsidR="009B31E7" w:rsidRPr="00042F16" w:rsidRDefault="009B31E7" w:rsidP="00C92E51">
      <w:pPr>
        <w:pStyle w:val="ListParagraph"/>
        <w:numPr>
          <w:ilvl w:val="0"/>
          <w:numId w:val="22"/>
        </w:numPr>
        <w:spacing w:after="0" w:line="240" w:lineRule="auto"/>
        <w:rPr>
          <w:rFonts w:ascii="Verdana" w:hAnsi="Verdana"/>
          <w:sz w:val="20"/>
          <w:szCs w:val="20"/>
        </w:rPr>
      </w:pPr>
      <w:r w:rsidRPr="00042F16">
        <w:rPr>
          <w:rFonts w:ascii="Verdana" w:hAnsi="Verdana"/>
          <w:sz w:val="20"/>
          <w:szCs w:val="20"/>
        </w:rPr>
        <w:t xml:space="preserve">Establishes and regularly reviews the specific principles of the remuneration applied to employees of </w:t>
      </w:r>
      <w:r w:rsidR="00DF0FC6" w:rsidRPr="00042F16">
        <w:rPr>
          <w:rFonts w:ascii="Verdana" w:hAnsi="Verdana"/>
          <w:sz w:val="20"/>
          <w:szCs w:val="20"/>
        </w:rPr>
        <w:t>t</w:t>
      </w:r>
      <w:r w:rsidR="00957371" w:rsidRPr="00042F16">
        <w:rPr>
          <w:rFonts w:ascii="Verdana" w:hAnsi="Verdana"/>
          <w:sz w:val="20"/>
          <w:szCs w:val="20"/>
        </w:rPr>
        <w:t>he Company</w:t>
      </w:r>
      <w:r w:rsidR="00B70D79" w:rsidRPr="00042F16">
        <w:rPr>
          <w:rFonts w:ascii="Verdana" w:hAnsi="Verdana"/>
          <w:sz w:val="20"/>
          <w:szCs w:val="20"/>
        </w:rPr>
        <w:t xml:space="preserve"> and its subsidiaries;</w:t>
      </w:r>
    </w:p>
    <w:p w14:paraId="4318CDA5" w14:textId="2824DED0" w:rsidR="00464D97" w:rsidRPr="00042F16" w:rsidRDefault="00464D97" w:rsidP="00C92E51">
      <w:pPr>
        <w:pStyle w:val="ListParagraph"/>
        <w:numPr>
          <w:ilvl w:val="0"/>
          <w:numId w:val="22"/>
        </w:numPr>
        <w:spacing w:after="0" w:line="240" w:lineRule="auto"/>
        <w:rPr>
          <w:rFonts w:ascii="Verdana" w:hAnsi="Verdana"/>
          <w:sz w:val="20"/>
          <w:szCs w:val="20"/>
        </w:rPr>
      </w:pPr>
      <w:r w:rsidRPr="00042F16">
        <w:rPr>
          <w:rFonts w:ascii="Verdana" w:hAnsi="Verdana"/>
          <w:sz w:val="20"/>
          <w:szCs w:val="20"/>
        </w:rPr>
        <w:t>Obtains the results of the annual review performed by the control functions on the rem</w:t>
      </w:r>
      <w:r w:rsidR="00B70D79" w:rsidRPr="00042F16">
        <w:rPr>
          <w:rFonts w:ascii="Verdana" w:hAnsi="Verdana"/>
          <w:sz w:val="20"/>
          <w:szCs w:val="20"/>
        </w:rPr>
        <w:t>uneration policy implementation;</w:t>
      </w:r>
    </w:p>
    <w:p w14:paraId="10D52003" w14:textId="7EE265E9" w:rsidR="009B31E7" w:rsidRPr="00042F16" w:rsidRDefault="009B31E7" w:rsidP="00C92E51">
      <w:pPr>
        <w:pStyle w:val="ListParagraph"/>
        <w:numPr>
          <w:ilvl w:val="0"/>
          <w:numId w:val="22"/>
        </w:numPr>
        <w:spacing w:after="0" w:line="240" w:lineRule="auto"/>
        <w:rPr>
          <w:rFonts w:ascii="Verdana" w:hAnsi="Verdana"/>
          <w:sz w:val="20"/>
          <w:szCs w:val="20"/>
        </w:rPr>
      </w:pPr>
      <w:r w:rsidRPr="00042F16">
        <w:rPr>
          <w:rFonts w:ascii="Verdana" w:hAnsi="Verdana"/>
          <w:sz w:val="20"/>
          <w:szCs w:val="20"/>
        </w:rPr>
        <w:t>Approves the remuneration of</w:t>
      </w:r>
      <w:r w:rsidR="00A53405" w:rsidRPr="00042F16">
        <w:rPr>
          <w:rFonts w:ascii="Verdana" w:hAnsi="Verdana"/>
          <w:sz w:val="20"/>
          <w:szCs w:val="20"/>
        </w:rPr>
        <w:t xml:space="preserve"> the authorised managers, the Chief Risk Officer and the Chief Compliance Officer.</w:t>
      </w:r>
    </w:p>
    <w:p w14:paraId="37DB730C" w14:textId="77777777" w:rsidR="00C92E51" w:rsidRDefault="00C92E51" w:rsidP="00C92E51">
      <w:pPr>
        <w:spacing w:after="0" w:line="240" w:lineRule="auto"/>
        <w:rPr>
          <w:rFonts w:ascii="Verdana" w:hAnsi="Verdana"/>
          <w:sz w:val="20"/>
          <w:szCs w:val="20"/>
        </w:rPr>
      </w:pPr>
    </w:p>
    <w:p w14:paraId="634033EB" w14:textId="6F3634A8" w:rsidR="009B31E7" w:rsidRDefault="009B31E7" w:rsidP="00C92E51">
      <w:pPr>
        <w:spacing w:after="0" w:line="240" w:lineRule="auto"/>
        <w:rPr>
          <w:rFonts w:ascii="Verdana" w:hAnsi="Verdana"/>
          <w:sz w:val="20"/>
          <w:szCs w:val="20"/>
        </w:rPr>
      </w:pPr>
      <w:r w:rsidRPr="00042F16">
        <w:rPr>
          <w:rFonts w:ascii="Verdana" w:hAnsi="Verdana"/>
          <w:sz w:val="20"/>
          <w:szCs w:val="20"/>
        </w:rPr>
        <w:t>The Foyer S.A. Remuneration</w:t>
      </w:r>
      <w:r w:rsidR="00674595" w:rsidRPr="00042F16">
        <w:rPr>
          <w:rFonts w:ascii="Verdana" w:hAnsi="Verdana"/>
          <w:sz w:val="20"/>
          <w:szCs w:val="20"/>
        </w:rPr>
        <w:t xml:space="preserve"> and Nomination</w:t>
      </w:r>
      <w:r w:rsidRPr="00042F16">
        <w:rPr>
          <w:rFonts w:ascii="Verdana" w:hAnsi="Verdana"/>
          <w:sz w:val="20"/>
          <w:szCs w:val="20"/>
        </w:rPr>
        <w:t xml:space="preserve"> Committee acts for </w:t>
      </w:r>
      <w:r w:rsidR="00DF0FC6" w:rsidRPr="00042F16">
        <w:rPr>
          <w:rFonts w:ascii="Verdana" w:hAnsi="Verdana"/>
          <w:sz w:val="20"/>
          <w:szCs w:val="20"/>
        </w:rPr>
        <w:t>t</w:t>
      </w:r>
      <w:r w:rsidR="00083346" w:rsidRPr="00042F16">
        <w:rPr>
          <w:rFonts w:ascii="Verdana" w:hAnsi="Verdana"/>
          <w:sz w:val="20"/>
          <w:szCs w:val="20"/>
        </w:rPr>
        <w:t>he Company</w:t>
      </w:r>
      <w:r w:rsidRPr="00042F16">
        <w:rPr>
          <w:rFonts w:ascii="Verdana" w:hAnsi="Verdana"/>
          <w:sz w:val="20"/>
          <w:szCs w:val="20"/>
        </w:rPr>
        <w:t>. The Committee discusses and proposes variable compensation for</w:t>
      </w:r>
      <w:r w:rsidR="00674595" w:rsidRPr="00042F16">
        <w:rPr>
          <w:rFonts w:ascii="Verdana" w:hAnsi="Verdana"/>
          <w:sz w:val="20"/>
          <w:szCs w:val="20"/>
        </w:rPr>
        <w:t xml:space="preserve"> Executive Committee members and for the Chief Risk Officer and Chief Compliance Officer.</w:t>
      </w:r>
      <w:r w:rsidR="00CB12D9" w:rsidRPr="00042F16">
        <w:rPr>
          <w:rFonts w:ascii="Verdana" w:hAnsi="Verdana"/>
          <w:sz w:val="20"/>
          <w:szCs w:val="20"/>
        </w:rPr>
        <w:t xml:space="preserve"> The Remuneration Committee </w:t>
      </w:r>
      <w:r w:rsidR="000A49CC" w:rsidRPr="00042F16">
        <w:rPr>
          <w:rFonts w:ascii="Verdana" w:hAnsi="Verdana"/>
          <w:sz w:val="20"/>
          <w:szCs w:val="20"/>
        </w:rPr>
        <w:t>is meeting 2 or 3 times per</w:t>
      </w:r>
      <w:r w:rsidR="00CB12D9" w:rsidRPr="00042F16">
        <w:rPr>
          <w:rFonts w:ascii="Verdana" w:hAnsi="Verdana"/>
          <w:sz w:val="20"/>
          <w:szCs w:val="20"/>
        </w:rPr>
        <w:t xml:space="preserve"> year.</w:t>
      </w:r>
      <w:r w:rsidR="002B13A5" w:rsidRPr="00042F16">
        <w:rPr>
          <w:rFonts w:ascii="Verdana" w:hAnsi="Verdana"/>
          <w:sz w:val="20"/>
          <w:szCs w:val="20"/>
        </w:rPr>
        <w:t xml:space="preserve"> </w:t>
      </w:r>
    </w:p>
    <w:p w14:paraId="78D95405" w14:textId="77777777" w:rsidR="00C92E51" w:rsidRPr="00042F16" w:rsidRDefault="00C92E51" w:rsidP="00C92E51">
      <w:pPr>
        <w:spacing w:after="0" w:line="240" w:lineRule="auto"/>
        <w:rPr>
          <w:rFonts w:ascii="Verdana" w:hAnsi="Verdana"/>
          <w:sz w:val="20"/>
          <w:szCs w:val="20"/>
        </w:rPr>
      </w:pPr>
    </w:p>
    <w:p w14:paraId="39E36993" w14:textId="527B793E" w:rsidR="00FD650A" w:rsidRPr="00C92E51" w:rsidRDefault="00C92E51" w:rsidP="00C92E51">
      <w:pPr>
        <w:pStyle w:val="Heading3"/>
        <w:spacing w:before="0" w:line="240" w:lineRule="auto"/>
        <w:ind w:left="709" w:hanging="720"/>
        <w:rPr>
          <w:rFonts w:ascii="Verdana" w:hAnsi="Verdana"/>
          <w:b/>
          <w:color w:val="6CACE4"/>
          <w:sz w:val="22"/>
          <w:szCs w:val="22"/>
        </w:rPr>
      </w:pPr>
      <w:bookmarkStart w:id="110" w:name="_Toc22716619"/>
      <w:r>
        <w:rPr>
          <w:rFonts w:ascii="Verdana" w:hAnsi="Verdana"/>
          <w:b/>
          <w:color w:val="6CACE4"/>
          <w:sz w:val="22"/>
          <w:szCs w:val="22"/>
        </w:rPr>
        <w:t xml:space="preserve"> </w:t>
      </w:r>
      <w:r w:rsidR="00FD650A" w:rsidRPr="00C92E51">
        <w:rPr>
          <w:rFonts w:ascii="Verdana" w:hAnsi="Verdana"/>
          <w:b/>
          <w:color w:val="6CACE4"/>
          <w:sz w:val="22"/>
          <w:szCs w:val="22"/>
        </w:rPr>
        <w:t>Set up and monitoring of the remuneration</w:t>
      </w:r>
      <w:bookmarkEnd w:id="110"/>
    </w:p>
    <w:p w14:paraId="76182248" w14:textId="77777777" w:rsidR="00C92E51" w:rsidRPr="00C92E51" w:rsidRDefault="00C92E51" w:rsidP="00C92E51">
      <w:pPr>
        <w:spacing w:after="0" w:line="240" w:lineRule="auto"/>
      </w:pPr>
    </w:p>
    <w:p w14:paraId="3B8C6CDD" w14:textId="66545468" w:rsidR="00DE0B70" w:rsidRPr="00042F16" w:rsidRDefault="00957371" w:rsidP="00C92E51">
      <w:pPr>
        <w:spacing w:after="0" w:line="240" w:lineRule="auto"/>
        <w:rPr>
          <w:rFonts w:ascii="Verdana" w:hAnsi="Verdana"/>
          <w:sz w:val="20"/>
          <w:szCs w:val="20"/>
        </w:rPr>
      </w:pPr>
      <w:r w:rsidRPr="00042F16">
        <w:rPr>
          <w:rFonts w:ascii="Verdana" w:hAnsi="Verdana"/>
          <w:sz w:val="20"/>
          <w:szCs w:val="20"/>
        </w:rPr>
        <w:t>The Company</w:t>
      </w:r>
      <w:r w:rsidR="00FD650A" w:rsidRPr="00042F16">
        <w:rPr>
          <w:rFonts w:ascii="Verdana" w:hAnsi="Verdana"/>
          <w:sz w:val="20"/>
          <w:szCs w:val="20"/>
        </w:rPr>
        <w:t>'s management is responsible for implementing the</w:t>
      </w:r>
      <w:r w:rsidR="00910813" w:rsidRPr="00042F16">
        <w:rPr>
          <w:rFonts w:ascii="Verdana" w:hAnsi="Verdana"/>
          <w:sz w:val="20"/>
          <w:szCs w:val="20"/>
        </w:rPr>
        <w:t xml:space="preserve"> remuneration</w:t>
      </w:r>
      <w:r w:rsidR="00FD650A" w:rsidRPr="00042F16">
        <w:rPr>
          <w:rFonts w:ascii="Verdana" w:hAnsi="Verdana"/>
          <w:sz w:val="20"/>
          <w:szCs w:val="20"/>
        </w:rPr>
        <w:t xml:space="preserve"> policy as define</w:t>
      </w:r>
      <w:r w:rsidR="00910813" w:rsidRPr="00042F16">
        <w:rPr>
          <w:rFonts w:ascii="Verdana" w:hAnsi="Verdana"/>
          <w:sz w:val="20"/>
          <w:szCs w:val="20"/>
        </w:rPr>
        <w:t xml:space="preserve">d by the </w:t>
      </w:r>
      <w:proofErr w:type="spellStart"/>
      <w:r w:rsidR="000C6BA5" w:rsidRPr="00042F16">
        <w:rPr>
          <w:rFonts w:ascii="Verdana" w:hAnsi="Verdana"/>
          <w:sz w:val="20"/>
          <w:szCs w:val="20"/>
        </w:rPr>
        <w:t>BoD</w:t>
      </w:r>
      <w:proofErr w:type="spellEnd"/>
      <w:r w:rsidR="00CB1777" w:rsidRPr="00042F16">
        <w:rPr>
          <w:rFonts w:ascii="Verdana" w:hAnsi="Verdana"/>
          <w:sz w:val="20"/>
          <w:szCs w:val="20"/>
        </w:rPr>
        <w:t xml:space="preserve">. </w:t>
      </w:r>
      <w:r w:rsidR="00841980" w:rsidRPr="00042F16">
        <w:rPr>
          <w:rFonts w:ascii="Verdana" w:hAnsi="Verdana"/>
          <w:sz w:val="20"/>
          <w:szCs w:val="20"/>
        </w:rPr>
        <w:t xml:space="preserve">Compliance is </w:t>
      </w:r>
      <w:r w:rsidR="00FD650A" w:rsidRPr="00042F16">
        <w:rPr>
          <w:rFonts w:ascii="Verdana" w:hAnsi="Verdana"/>
          <w:sz w:val="20"/>
          <w:szCs w:val="20"/>
        </w:rPr>
        <w:t>involved in the development of the remuneration</w:t>
      </w:r>
      <w:r w:rsidR="00910813" w:rsidRPr="00042F16">
        <w:rPr>
          <w:rFonts w:ascii="Verdana" w:hAnsi="Verdana"/>
          <w:sz w:val="20"/>
          <w:szCs w:val="20"/>
        </w:rPr>
        <w:t xml:space="preserve"> policy</w:t>
      </w:r>
      <w:r w:rsidR="00841980" w:rsidRPr="00042F16">
        <w:rPr>
          <w:rFonts w:ascii="Verdana" w:hAnsi="Verdana"/>
          <w:sz w:val="20"/>
          <w:szCs w:val="20"/>
        </w:rPr>
        <w:t>.</w:t>
      </w:r>
      <w:r w:rsidR="00CB1777" w:rsidRPr="00042F16">
        <w:rPr>
          <w:rFonts w:ascii="Verdana" w:hAnsi="Verdana"/>
          <w:sz w:val="20"/>
          <w:szCs w:val="20"/>
        </w:rPr>
        <w:t xml:space="preserve"> </w:t>
      </w:r>
      <w:r w:rsidR="00FD650A" w:rsidRPr="00042F16">
        <w:rPr>
          <w:rFonts w:ascii="Verdana" w:hAnsi="Verdana"/>
          <w:sz w:val="20"/>
          <w:szCs w:val="20"/>
        </w:rPr>
        <w:t>The internal control functions are independent of</w:t>
      </w:r>
      <w:r w:rsidR="00DE0B70" w:rsidRPr="00042F16">
        <w:rPr>
          <w:rFonts w:ascii="Verdana" w:hAnsi="Verdana"/>
          <w:sz w:val="20"/>
          <w:szCs w:val="20"/>
        </w:rPr>
        <w:t xml:space="preserve"> the business units they serve.</w:t>
      </w:r>
      <w:r w:rsidR="00FD650A" w:rsidRPr="00042F16">
        <w:rPr>
          <w:rFonts w:ascii="Verdana" w:hAnsi="Verdana"/>
          <w:sz w:val="20"/>
          <w:szCs w:val="20"/>
        </w:rPr>
        <w:t xml:space="preserve"> They are in charge of evaluating, once a year</w:t>
      </w:r>
      <w:r w:rsidR="00DE0B70" w:rsidRPr="00042F16">
        <w:rPr>
          <w:rFonts w:ascii="Verdana" w:hAnsi="Verdana"/>
          <w:sz w:val="20"/>
          <w:szCs w:val="20"/>
        </w:rPr>
        <w:t xml:space="preserve">, compliance with </w:t>
      </w:r>
      <w:r w:rsidR="00FD650A" w:rsidRPr="00042F16">
        <w:rPr>
          <w:rFonts w:ascii="Verdana" w:hAnsi="Verdana"/>
          <w:sz w:val="20"/>
          <w:szCs w:val="20"/>
        </w:rPr>
        <w:t>compensation</w:t>
      </w:r>
      <w:r w:rsidR="00910813" w:rsidRPr="00042F16">
        <w:rPr>
          <w:rFonts w:ascii="Verdana" w:hAnsi="Verdana"/>
          <w:sz w:val="20"/>
          <w:szCs w:val="20"/>
        </w:rPr>
        <w:t xml:space="preserve"> policies</w:t>
      </w:r>
      <w:r w:rsidR="00FD650A" w:rsidRPr="00042F16">
        <w:rPr>
          <w:rFonts w:ascii="Verdana" w:hAnsi="Verdana"/>
          <w:sz w:val="20"/>
          <w:szCs w:val="20"/>
        </w:rPr>
        <w:t xml:space="preserve"> procedures appro</w:t>
      </w:r>
      <w:r w:rsidR="00DE0B70" w:rsidRPr="00042F16">
        <w:rPr>
          <w:rFonts w:ascii="Verdana" w:hAnsi="Verdana"/>
          <w:sz w:val="20"/>
          <w:szCs w:val="20"/>
        </w:rPr>
        <w:t xml:space="preserve">ved by the </w:t>
      </w:r>
      <w:proofErr w:type="spellStart"/>
      <w:r w:rsidR="000C6BA5" w:rsidRPr="00042F16">
        <w:rPr>
          <w:rFonts w:ascii="Verdana" w:hAnsi="Verdana"/>
          <w:sz w:val="20"/>
          <w:szCs w:val="20"/>
        </w:rPr>
        <w:t>BoD</w:t>
      </w:r>
      <w:proofErr w:type="spellEnd"/>
      <w:r w:rsidR="00DE0B70" w:rsidRPr="00042F16">
        <w:rPr>
          <w:rFonts w:ascii="Verdana" w:hAnsi="Verdana"/>
          <w:sz w:val="20"/>
          <w:szCs w:val="20"/>
        </w:rPr>
        <w:t xml:space="preserve">. </w:t>
      </w:r>
      <w:r w:rsidR="00FD650A" w:rsidRPr="00042F16">
        <w:rPr>
          <w:rFonts w:ascii="Verdana" w:hAnsi="Verdana"/>
          <w:sz w:val="20"/>
          <w:szCs w:val="20"/>
        </w:rPr>
        <w:t xml:space="preserve">In addition, they </w:t>
      </w:r>
      <w:r w:rsidR="00910813" w:rsidRPr="00042F16">
        <w:rPr>
          <w:rFonts w:ascii="Verdana" w:hAnsi="Verdana"/>
          <w:sz w:val="20"/>
          <w:szCs w:val="20"/>
        </w:rPr>
        <w:t>are in charge of the</w:t>
      </w:r>
      <w:r w:rsidR="00DE0B70" w:rsidRPr="00042F16">
        <w:rPr>
          <w:rFonts w:ascii="Verdana" w:hAnsi="Verdana"/>
          <w:sz w:val="20"/>
          <w:szCs w:val="20"/>
        </w:rPr>
        <w:t xml:space="preserve"> remuneration</w:t>
      </w:r>
      <w:r w:rsidR="00910813" w:rsidRPr="00042F16">
        <w:rPr>
          <w:rFonts w:ascii="Verdana" w:hAnsi="Verdana"/>
          <w:sz w:val="20"/>
          <w:szCs w:val="20"/>
        </w:rPr>
        <w:t xml:space="preserve"> allocation</w:t>
      </w:r>
      <w:r w:rsidR="00DE0B70" w:rsidRPr="00042F16">
        <w:rPr>
          <w:rFonts w:ascii="Verdana" w:hAnsi="Verdana"/>
          <w:sz w:val="20"/>
          <w:szCs w:val="20"/>
        </w:rPr>
        <w:t xml:space="preserve"> to the various </w:t>
      </w:r>
      <w:r w:rsidR="00FD650A" w:rsidRPr="00042F16">
        <w:rPr>
          <w:rFonts w:ascii="Verdana" w:hAnsi="Verdana"/>
          <w:sz w:val="20"/>
          <w:szCs w:val="20"/>
        </w:rPr>
        <w:t>categories of employees and to control the</w:t>
      </w:r>
      <w:r w:rsidR="002E1B27" w:rsidRPr="00042F16">
        <w:rPr>
          <w:rFonts w:ascii="Verdana" w:hAnsi="Verdana"/>
          <w:sz w:val="20"/>
          <w:szCs w:val="20"/>
        </w:rPr>
        <w:t xml:space="preserve"> whole</w:t>
      </w:r>
      <w:r w:rsidR="00FD650A" w:rsidRPr="00042F16">
        <w:rPr>
          <w:rFonts w:ascii="Verdana" w:hAnsi="Verdana"/>
          <w:sz w:val="20"/>
          <w:szCs w:val="20"/>
        </w:rPr>
        <w:t xml:space="preserve"> compens</w:t>
      </w:r>
      <w:r w:rsidR="002E1B27" w:rsidRPr="00042F16">
        <w:rPr>
          <w:rFonts w:ascii="Verdana" w:hAnsi="Verdana"/>
          <w:sz w:val="20"/>
          <w:szCs w:val="20"/>
        </w:rPr>
        <w:t xml:space="preserve">ation system at </w:t>
      </w:r>
      <w:r w:rsidR="00DE0B70" w:rsidRPr="00042F16">
        <w:rPr>
          <w:rFonts w:ascii="Verdana" w:hAnsi="Verdana"/>
          <w:sz w:val="20"/>
          <w:szCs w:val="20"/>
        </w:rPr>
        <w:t xml:space="preserve">least once a year. </w:t>
      </w:r>
    </w:p>
    <w:p w14:paraId="0A8BD856" w14:textId="03DEF54D" w:rsidR="00FD650A" w:rsidRPr="00042F16" w:rsidRDefault="00FD650A" w:rsidP="00C92E51">
      <w:pPr>
        <w:spacing w:after="0" w:line="240" w:lineRule="auto"/>
        <w:rPr>
          <w:rFonts w:ascii="Verdana" w:hAnsi="Verdana"/>
          <w:sz w:val="20"/>
          <w:szCs w:val="20"/>
        </w:rPr>
      </w:pPr>
      <w:r w:rsidRPr="00042F16">
        <w:rPr>
          <w:rFonts w:ascii="Verdana" w:hAnsi="Verdana"/>
          <w:sz w:val="20"/>
          <w:szCs w:val="20"/>
        </w:rPr>
        <w:t>In the event of damage suffered by an actual or potential c</w:t>
      </w:r>
      <w:r w:rsidR="00DE0B70" w:rsidRPr="00042F16">
        <w:rPr>
          <w:rFonts w:ascii="Verdana" w:hAnsi="Verdana"/>
          <w:sz w:val="20"/>
          <w:szCs w:val="20"/>
        </w:rPr>
        <w:t xml:space="preserve">ustomer due to certain aspects </w:t>
      </w:r>
      <w:r w:rsidRPr="00042F16">
        <w:rPr>
          <w:rFonts w:ascii="Verdana" w:hAnsi="Verdana"/>
          <w:sz w:val="20"/>
          <w:szCs w:val="20"/>
        </w:rPr>
        <w:t>of the remuneration policy, it will be reviewed a</w:t>
      </w:r>
      <w:r w:rsidR="00DE0B70" w:rsidRPr="00042F16">
        <w:rPr>
          <w:rFonts w:ascii="Verdana" w:hAnsi="Verdana"/>
          <w:sz w:val="20"/>
          <w:szCs w:val="20"/>
        </w:rPr>
        <w:t xml:space="preserve">nd amended in order to prevent </w:t>
      </w:r>
      <w:r w:rsidRPr="00042F16">
        <w:rPr>
          <w:rFonts w:ascii="Verdana" w:hAnsi="Verdana"/>
          <w:sz w:val="20"/>
          <w:szCs w:val="20"/>
        </w:rPr>
        <w:t xml:space="preserve">these risks. </w:t>
      </w:r>
    </w:p>
    <w:p w14:paraId="5895F924" w14:textId="31EDCB9A" w:rsidR="00FD650A" w:rsidRDefault="00FD650A" w:rsidP="00C92E51">
      <w:pPr>
        <w:spacing w:after="0" w:line="240" w:lineRule="auto"/>
        <w:rPr>
          <w:rFonts w:ascii="Verdana" w:hAnsi="Verdana"/>
          <w:sz w:val="20"/>
          <w:szCs w:val="20"/>
        </w:rPr>
      </w:pPr>
      <w:r w:rsidRPr="00042F16">
        <w:rPr>
          <w:rFonts w:ascii="Verdana" w:hAnsi="Verdana"/>
          <w:sz w:val="20"/>
          <w:szCs w:val="20"/>
        </w:rPr>
        <w:t>Human Resources is in charge of monitoring the remuneration budget va</w:t>
      </w:r>
      <w:r w:rsidR="00DE0B70" w:rsidRPr="00042F16">
        <w:rPr>
          <w:rFonts w:ascii="Verdana" w:hAnsi="Verdana"/>
          <w:sz w:val="20"/>
          <w:szCs w:val="20"/>
        </w:rPr>
        <w:t xml:space="preserve">lidated by the </w:t>
      </w:r>
      <w:proofErr w:type="spellStart"/>
      <w:r w:rsidR="000C6BA5" w:rsidRPr="00042F16">
        <w:rPr>
          <w:rFonts w:ascii="Verdana" w:hAnsi="Verdana"/>
          <w:sz w:val="20"/>
          <w:szCs w:val="20"/>
        </w:rPr>
        <w:t>BoD</w:t>
      </w:r>
      <w:proofErr w:type="spellEnd"/>
      <w:r w:rsidRPr="00042F16">
        <w:rPr>
          <w:rFonts w:ascii="Verdana" w:hAnsi="Verdana"/>
          <w:sz w:val="20"/>
          <w:szCs w:val="20"/>
        </w:rPr>
        <w:t xml:space="preserve"> of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w:t>
      </w:r>
    </w:p>
    <w:p w14:paraId="0B0229C8" w14:textId="77777777" w:rsidR="00386551" w:rsidRDefault="00386551" w:rsidP="00C92E51">
      <w:pPr>
        <w:spacing w:after="0" w:line="240" w:lineRule="auto"/>
        <w:rPr>
          <w:rFonts w:ascii="Verdana" w:hAnsi="Verdana"/>
          <w:sz w:val="20"/>
          <w:szCs w:val="20"/>
        </w:rPr>
      </w:pPr>
    </w:p>
    <w:p w14:paraId="6D09A104" w14:textId="77777777" w:rsidR="00386551" w:rsidRDefault="00386551" w:rsidP="00C92E51">
      <w:pPr>
        <w:spacing w:after="0" w:line="240" w:lineRule="auto"/>
        <w:rPr>
          <w:rFonts w:ascii="Verdana" w:hAnsi="Verdana"/>
          <w:sz w:val="20"/>
          <w:szCs w:val="20"/>
        </w:rPr>
      </w:pPr>
    </w:p>
    <w:p w14:paraId="5602B7A2" w14:textId="77777777" w:rsidR="00650143" w:rsidRDefault="00650143" w:rsidP="00C92E51">
      <w:pPr>
        <w:spacing w:after="0" w:line="240" w:lineRule="auto"/>
        <w:rPr>
          <w:rFonts w:ascii="Verdana" w:hAnsi="Verdana"/>
          <w:sz w:val="20"/>
          <w:szCs w:val="20"/>
        </w:rPr>
      </w:pPr>
    </w:p>
    <w:p w14:paraId="504DCC6B" w14:textId="395C2681" w:rsidR="00DE0B70" w:rsidRPr="00C92E51" w:rsidRDefault="00DE0B70" w:rsidP="00C92E51">
      <w:pPr>
        <w:pStyle w:val="Heading2"/>
        <w:spacing w:before="0" w:line="240" w:lineRule="auto"/>
        <w:ind w:left="709"/>
        <w:rPr>
          <w:rFonts w:ascii="Verdana" w:hAnsi="Verdana"/>
          <w:b/>
          <w:color w:val="6CACE4"/>
          <w:sz w:val="22"/>
          <w:szCs w:val="22"/>
        </w:rPr>
      </w:pPr>
      <w:bookmarkStart w:id="111" w:name="_Toc22716620"/>
      <w:r w:rsidRPr="00C92E51">
        <w:rPr>
          <w:rFonts w:ascii="Verdana" w:hAnsi="Verdana"/>
          <w:b/>
          <w:color w:val="6CACE4"/>
          <w:sz w:val="22"/>
          <w:szCs w:val="22"/>
        </w:rPr>
        <w:lastRenderedPageBreak/>
        <w:t>Pay and performance</w:t>
      </w:r>
      <w:bookmarkEnd w:id="111"/>
    </w:p>
    <w:p w14:paraId="58980EE7" w14:textId="77777777" w:rsidR="00C92E51" w:rsidRPr="00C92E51" w:rsidRDefault="00C92E51" w:rsidP="00C92E51">
      <w:pPr>
        <w:spacing w:after="0" w:line="240" w:lineRule="auto"/>
        <w:ind w:left="709" w:hanging="720"/>
        <w:rPr>
          <w:b/>
          <w:color w:val="6CACE4"/>
        </w:rPr>
      </w:pPr>
    </w:p>
    <w:p w14:paraId="1F3DEC4C" w14:textId="65E71012" w:rsidR="00B53DB5" w:rsidRPr="00C92E51" w:rsidRDefault="00C92E51" w:rsidP="00C92E51">
      <w:pPr>
        <w:pStyle w:val="Heading3"/>
        <w:spacing w:before="0" w:line="240" w:lineRule="auto"/>
        <w:ind w:left="709" w:hanging="720"/>
        <w:rPr>
          <w:rFonts w:ascii="Verdana" w:hAnsi="Verdana"/>
          <w:b/>
          <w:color w:val="6CACE4"/>
          <w:sz w:val="22"/>
          <w:szCs w:val="22"/>
        </w:rPr>
      </w:pPr>
      <w:bookmarkStart w:id="112" w:name="_Toc22716621"/>
      <w:r>
        <w:rPr>
          <w:rFonts w:ascii="Verdana" w:hAnsi="Verdana"/>
          <w:b/>
          <w:color w:val="6CACE4"/>
          <w:sz w:val="22"/>
          <w:szCs w:val="22"/>
        </w:rPr>
        <w:t xml:space="preserve"> </w:t>
      </w:r>
      <w:r w:rsidR="00B53DB5" w:rsidRPr="00C92E51">
        <w:rPr>
          <w:rFonts w:ascii="Verdana" w:hAnsi="Verdana"/>
          <w:b/>
          <w:color w:val="6CACE4"/>
          <w:sz w:val="22"/>
          <w:szCs w:val="22"/>
        </w:rPr>
        <w:t xml:space="preserve">Performance </w:t>
      </w:r>
      <w:r w:rsidR="00996BCE" w:rsidRPr="00C92E51">
        <w:rPr>
          <w:rFonts w:ascii="Verdana" w:hAnsi="Verdana"/>
          <w:b/>
          <w:color w:val="6CACE4"/>
          <w:sz w:val="22"/>
          <w:szCs w:val="22"/>
        </w:rPr>
        <w:t>criteria</w:t>
      </w:r>
      <w:bookmarkEnd w:id="112"/>
    </w:p>
    <w:p w14:paraId="3C1C52E6" w14:textId="77777777" w:rsidR="00C92E51" w:rsidRPr="00C92E51" w:rsidRDefault="00C92E51" w:rsidP="00C92E51">
      <w:pPr>
        <w:spacing w:after="0" w:line="240" w:lineRule="auto"/>
      </w:pPr>
    </w:p>
    <w:p w14:paraId="5A88DF3E" w14:textId="09DD2222" w:rsidR="00DE0B70" w:rsidRPr="00042F16" w:rsidRDefault="00EA659A" w:rsidP="00C92E51">
      <w:pPr>
        <w:spacing w:after="0" w:line="240" w:lineRule="auto"/>
        <w:rPr>
          <w:rFonts w:ascii="Verdana" w:hAnsi="Verdana"/>
          <w:sz w:val="20"/>
          <w:szCs w:val="20"/>
        </w:rPr>
      </w:pPr>
      <w:r w:rsidRPr="00042F16">
        <w:rPr>
          <w:rFonts w:ascii="Verdana" w:hAnsi="Verdana"/>
          <w:sz w:val="20"/>
          <w:szCs w:val="20"/>
        </w:rPr>
        <w:t>On a yearly basis</w:t>
      </w:r>
      <w:r w:rsidR="00560AA6" w:rsidRPr="00042F16">
        <w:rPr>
          <w:rFonts w:ascii="Verdana" w:hAnsi="Verdana"/>
          <w:sz w:val="20"/>
          <w:szCs w:val="20"/>
        </w:rPr>
        <w:t>, a</w:t>
      </w:r>
      <w:r w:rsidR="00DE0B70" w:rsidRPr="00042F16">
        <w:rPr>
          <w:rFonts w:ascii="Verdana" w:hAnsi="Verdana"/>
          <w:sz w:val="20"/>
          <w:szCs w:val="20"/>
        </w:rPr>
        <w:t xml:space="preserve">ll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’s</w:t>
      </w:r>
      <w:r w:rsidR="00560AA6" w:rsidRPr="00042F16">
        <w:rPr>
          <w:rFonts w:ascii="Verdana" w:hAnsi="Verdana"/>
          <w:sz w:val="20"/>
          <w:szCs w:val="20"/>
        </w:rPr>
        <w:t xml:space="preserve"> employees are assessed</w:t>
      </w:r>
      <w:r w:rsidR="00DE0B70" w:rsidRPr="00042F16">
        <w:rPr>
          <w:rFonts w:ascii="Verdana" w:hAnsi="Verdana"/>
          <w:sz w:val="20"/>
          <w:szCs w:val="20"/>
        </w:rPr>
        <w:t xml:space="preserve"> to ensure that their performance is evaluated over the long term and on an ongoing process. </w:t>
      </w:r>
      <w:r w:rsidR="00D0088F" w:rsidRPr="00042F16">
        <w:rPr>
          <w:rFonts w:ascii="Verdana" w:hAnsi="Verdana"/>
          <w:sz w:val="20"/>
          <w:szCs w:val="20"/>
        </w:rPr>
        <w:t>E</w:t>
      </w:r>
      <w:r w:rsidR="00DE0B70" w:rsidRPr="00042F16">
        <w:rPr>
          <w:rFonts w:ascii="Verdana" w:hAnsi="Verdana"/>
          <w:sz w:val="20"/>
          <w:szCs w:val="20"/>
        </w:rPr>
        <w:t xml:space="preserve">mployees are assessed </w:t>
      </w:r>
      <w:r w:rsidR="009B2AB7" w:rsidRPr="00042F16">
        <w:rPr>
          <w:rFonts w:ascii="Verdana" w:hAnsi="Verdana"/>
          <w:sz w:val="20"/>
          <w:szCs w:val="20"/>
        </w:rPr>
        <w:t>based on</w:t>
      </w:r>
      <w:r w:rsidR="00D0088F" w:rsidRPr="00042F16">
        <w:rPr>
          <w:rFonts w:ascii="Verdana" w:hAnsi="Verdana"/>
          <w:sz w:val="20"/>
          <w:szCs w:val="20"/>
        </w:rPr>
        <w:t xml:space="preserve"> qualitative</w:t>
      </w:r>
      <w:r w:rsidR="009B2AB7" w:rsidRPr="00042F16">
        <w:rPr>
          <w:rFonts w:ascii="Verdana" w:hAnsi="Verdana"/>
          <w:sz w:val="20"/>
          <w:szCs w:val="20"/>
        </w:rPr>
        <w:t xml:space="preserve"> and</w:t>
      </w:r>
      <w:r w:rsidR="00D0088F" w:rsidRPr="00042F16">
        <w:rPr>
          <w:rFonts w:ascii="Verdana" w:hAnsi="Verdana"/>
          <w:sz w:val="20"/>
          <w:szCs w:val="20"/>
        </w:rPr>
        <w:t xml:space="preserve"> quantitative</w:t>
      </w:r>
      <w:r w:rsidR="009B2AB7" w:rsidRPr="00042F16">
        <w:rPr>
          <w:rFonts w:ascii="Verdana" w:hAnsi="Verdana"/>
          <w:sz w:val="20"/>
          <w:szCs w:val="20"/>
        </w:rPr>
        <w:t xml:space="preserve"> criteria and based on their </w:t>
      </w:r>
      <w:r w:rsidR="00DE0B70" w:rsidRPr="00042F16">
        <w:rPr>
          <w:rFonts w:ascii="Verdana" w:hAnsi="Verdana"/>
          <w:sz w:val="20"/>
          <w:szCs w:val="20"/>
        </w:rPr>
        <w:t xml:space="preserve">progress. </w:t>
      </w:r>
    </w:p>
    <w:p w14:paraId="4AD81B3F" w14:textId="77777777" w:rsidR="00650143" w:rsidRDefault="00650143" w:rsidP="00C92E51">
      <w:pPr>
        <w:spacing w:after="0" w:line="240" w:lineRule="auto"/>
        <w:rPr>
          <w:rFonts w:ascii="Verdana" w:hAnsi="Verdana"/>
          <w:sz w:val="20"/>
          <w:szCs w:val="20"/>
        </w:rPr>
      </w:pPr>
    </w:p>
    <w:p w14:paraId="1A8253A5" w14:textId="77777777" w:rsidR="00386551" w:rsidRDefault="00386551" w:rsidP="00C92E51">
      <w:pPr>
        <w:spacing w:after="0" w:line="240" w:lineRule="auto"/>
        <w:rPr>
          <w:rFonts w:ascii="Verdana" w:hAnsi="Verdana"/>
          <w:sz w:val="20"/>
          <w:szCs w:val="20"/>
        </w:rPr>
      </w:pPr>
    </w:p>
    <w:p w14:paraId="751F3C6E" w14:textId="49BE6CA8" w:rsidR="00DE0B70" w:rsidRPr="00042F16" w:rsidRDefault="00DE0B70" w:rsidP="00C92E51">
      <w:pPr>
        <w:spacing w:after="0" w:line="240" w:lineRule="auto"/>
        <w:rPr>
          <w:rFonts w:ascii="Verdana" w:hAnsi="Verdana"/>
          <w:sz w:val="20"/>
          <w:szCs w:val="20"/>
        </w:rPr>
      </w:pPr>
      <w:r w:rsidRPr="00042F16">
        <w:rPr>
          <w:rFonts w:ascii="Verdana" w:hAnsi="Verdana"/>
          <w:sz w:val="20"/>
          <w:szCs w:val="20"/>
        </w:rPr>
        <w:t>Qualitative criteria are general criteria (evoluti</w:t>
      </w:r>
      <w:r w:rsidR="00D0088F" w:rsidRPr="00042F16">
        <w:rPr>
          <w:rFonts w:ascii="Verdana" w:hAnsi="Verdana"/>
          <w:sz w:val="20"/>
          <w:szCs w:val="20"/>
        </w:rPr>
        <w:t xml:space="preserve">on in the function, quality of </w:t>
      </w:r>
      <w:r w:rsidRPr="00042F16">
        <w:rPr>
          <w:rFonts w:ascii="Verdana" w:hAnsi="Verdana"/>
          <w:sz w:val="20"/>
          <w:szCs w:val="20"/>
        </w:rPr>
        <w:t>work, team spirit, commercial spirit, respect for the c</w:t>
      </w:r>
      <w:r w:rsidR="00D0088F" w:rsidRPr="00042F16">
        <w:rPr>
          <w:rFonts w:ascii="Verdana" w:hAnsi="Verdana"/>
          <w:sz w:val="20"/>
          <w:szCs w:val="20"/>
        </w:rPr>
        <w:t xml:space="preserve">lient's interests, respect for </w:t>
      </w:r>
      <w:r w:rsidRPr="00042F16">
        <w:rPr>
          <w:rFonts w:ascii="Verdana" w:hAnsi="Verdana"/>
          <w:sz w:val="20"/>
          <w:szCs w:val="20"/>
        </w:rPr>
        <w:t>internal procedures, compliance with rules of conduct, KYC</w:t>
      </w:r>
      <w:r w:rsidR="00D0088F" w:rsidRPr="00042F16">
        <w:rPr>
          <w:rFonts w:ascii="Verdana" w:hAnsi="Verdana"/>
          <w:sz w:val="20"/>
          <w:szCs w:val="20"/>
        </w:rPr>
        <w:t xml:space="preserve">, compliance with requirements </w:t>
      </w:r>
      <w:r w:rsidRPr="00042F16">
        <w:rPr>
          <w:rFonts w:ascii="Verdana" w:hAnsi="Verdana"/>
          <w:sz w:val="20"/>
          <w:szCs w:val="20"/>
        </w:rPr>
        <w:t>regulatory, fair treatment of customers, level of customer satisfaction,...) an</w:t>
      </w:r>
      <w:r w:rsidR="00D0088F" w:rsidRPr="00042F16">
        <w:rPr>
          <w:rFonts w:ascii="Verdana" w:hAnsi="Verdana"/>
          <w:sz w:val="20"/>
          <w:szCs w:val="20"/>
        </w:rPr>
        <w:t xml:space="preserve">d </w:t>
      </w:r>
      <w:r w:rsidRPr="00042F16">
        <w:rPr>
          <w:rFonts w:ascii="Verdana" w:hAnsi="Verdana"/>
          <w:sz w:val="20"/>
          <w:szCs w:val="20"/>
        </w:rPr>
        <w:t>specific business criteria (for exampl</w:t>
      </w:r>
      <w:r w:rsidR="00D0088F" w:rsidRPr="00042F16">
        <w:rPr>
          <w:rFonts w:ascii="Verdana" w:hAnsi="Verdana"/>
          <w:sz w:val="20"/>
          <w:szCs w:val="20"/>
        </w:rPr>
        <w:t xml:space="preserve">e, for a member of management: </w:t>
      </w:r>
      <w:r w:rsidRPr="00042F16">
        <w:rPr>
          <w:rFonts w:ascii="Verdana" w:hAnsi="Verdana"/>
          <w:sz w:val="20"/>
          <w:szCs w:val="20"/>
        </w:rPr>
        <w:t xml:space="preserve">communication, team management, initiative, anticipation). </w:t>
      </w:r>
    </w:p>
    <w:p w14:paraId="614A19AF" w14:textId="48A37180" w:rsidR="00DE0B70" w:rsidRPr="00042F16" w:rsidRDefault="00DE0B70" w:rsidP="00C92E51">
      <w:pPr>
        <w:spacing w:after="0" w:line="240" w:lineRule="auto"/>
        <w:rPr>
          <w:rFonts w:ascii="Verdana" w:hAnsi="Verdana"/>
          <w:sz w:val="20"/>
          <w:szCs w:val="20"/>
        </w:rPr>
      </w:pPr>
      <w:r w:rsidRPr="00042F16">
        <w:rPr>
          <w:rFonts w:ascii="Verdana" w:hAnsi="Verdana"/>
          <w:sz w:val="20"/>
          <w:szCs w:val="20"/>
        </w:rPr>
        <w:t>The performance evaluation is the basis fo</w:t>
      </w:r>
      <w:r w:rsidR="00D0088F" w:rsidRPr="00042F16">
        <w:rPr>
          <w:rFonts w:ascii="Verdana" w:hAnsi="Verdana"/>
          <w:sz w:val="20"/>
          <w:szCs w:val="20"/>
        </w:rPr>
        <w:t xml:space="preserve">r determining the </w:t>
      </w:r>
      <w:r w:rsidR="009B2AB7" w:rsidRPr="00042F16">
        <w:rPr>
          <w:rFonts w:ascii="Verdana" w:hAnsi="Verdana"/>
          <w:sz w:val="20"/>
          <w:szCs w:val="20"/>
        </w:rPr>
        <w:t xml:space="preserve">variable </w:t>
      </w:r>
      <w:r w:rsidR="00D0088F" w:rsidRPr="00042F16">
        <w:rPr>
          <w:rFonts w:ascii="Verdana" w:hAnsi="Verdana"/>
          <w:sz w:val="20"/>
          <w:szCs w:val="20"/>
        </w:rPr>
        <w:t xml:space="preserve">remuneration </w:t>
      </w:r>
      <w:r w:rsidR="009B2AB7" w:rsidRPr="00042F16">
        <w:rPr>
          <w:rFonts w:ascii="Verdana" w:hAnsi="Verdana"/>
          <w:sz w:val="20"/>
          <w:szCs w:val="20"/>
        </w:rPr>
        <w:t>a</w:t>
      </w:r>
      <w:r w:rsidRPr="00042F16">
        <w:rPr>
          <w:rFonts w:ascii="Verdana" w:hAnsi="Verdana"/>
          <w:sz w:val="20"/>
          <w:szCs w:val="20"/>
        </w:rPr>
        <w:t xml:space="preserve">nd the </w:t>
      </w:r>
      <w:r w:rsidR="009B2AB7" w:rsidRPr="00042F16">
        <w:rPr>
          <w:rFonts w:ascii="Verdana" w:hAnsi="Verdana"/>
          <w:sz w:val="20"/>
          <w:szCs w:val="20"/>
        </w:rPr>
        <w:t>potential increase</w:t>
      </w:r>
      <w:r w:rsidRPr="00042F16">
        <w:rPr>
          <w:rFonts w:ascii="Verdana" w:hAnsi="Verdana"/>
          <w:sz w:val="20"/>
          <w:szCs w:val="20"/>
        </w:rPr>
        <w:t xml:space="preserve"> in the fixed </w:t>
      </w:r>
      <w:r w:rsidR="009B2AB7" w:rsidRPr="00042F16">
        <w:rPr>
          <w:rFonts w:ascii="Verdana" w:hAnsi="Verdana"/>
          <w:sz w:val="20"/>
          <w:szCs w:val="20"/>
        </w:rPr>
        <w:t>remuneration</w:t>
      </w:r>
      <w:r w:rsidRPr="00042F16">
        <w:rPr>
          <w:rFonts w:ascii="Verdana" w:hAnsi="Verdana"/>
          <w:sz w:val="20"/>
          <w:szCs w:val="20"/>
        </w:rPr>
        <w:t xml:space="preserve">. </w:t>
      </w:r>
    </w:p>
    <w:p w14:paraId="1C036F78" w14:textId="77777777" w:rsidR="00650143" w:rsidRDefault="00650143" w:rsidP="00C92E51">
      <w:pPr>
        <w:spacing w:after="0" w:line="240" w:lineRule="auto"/>
        <w:rPr>
          <w:rFonts w:ascii="Verdana" w:hAnsi="Verdana"/>
          <w:sz w:val="20"/>
          <w:szCs w:val="20"/>
        </w:rPr>
      </w:pPr>
    </w:p>
    <w:p w14:paraId="293D0423" w14:textId="4CB02189" w:rsidR="00DE0B70" w:rsidRPr="00042F16" w:rsidRDefault="00650143" w:rsidP="00C92E51">
      <w:pPr>
        <w:spacing w:after="0" w:line="240" w:lineRule="auto"/>
        <w:rPr>
          <w:rFonts w:ascii="Verdana" w:hAnsi="Verdana"/>
          <w:sz w:val="20"/>
          <w:szCs w:val="20"/>
        </w:rPr>
      </w:pPr>
      <w:r>
        <w:rPr>
          <w:rFonts w:ascii="Verdana" w:hAnsi="Verdana"/>
          <w:sz w:val="20"/>
          <w:szCs w:val="20"/>
        </w:rPr>
        <w:t>P</w:t>
      </w:r>
      <w:r w:rsidR="00DE0B70" w:rsidRPr="00042F16">
        <w:rPr>
          <w:rFonts w:ascii="Verdana" w:hAnsi="Verdana"/>
          <w:sz w:val="20"/>
          <w:szCs w:val="20"/>
        </w:rPr>
        <w:t>erformance measurement, when it is used as a basis for calcu</w:t>
      </w:r>
      <w:r w:rsidR="00D0088F" w:rsidRPr="00042F16">
        <w:rPr>
          <w:rFonts w:ascii="Verdana" w:hAnsi="Verdana"/>
          <w:sz w:val="20"/>
          <w:szCs w:val="20"/>
        </w:rPr>
        <w:t xml:space="preserve">lating the variable components </w:t>
      </w:r>
      <w:r w:rsidR="00DE0B70" w:rsidRPr="00042F16">
        <w:rPr>
          <w:rFonts w:ascii="Verdana" w:hAnsi="Verdana"/>
          <w:sz w:val="20"/>
          <w:szCs w:val="20"/>
        </w:rPr>
        <w:t>of individual or collective compensation, includes</w:t>
      </w:r>
      <w:r w:rsidR="00D0088F" w:rsidRPr="00042F16">
        <w:rPr>
          <w:rFonts w:ascii="Verdana" w:hAnsi="Verdana"/>
          <w:sz w:val="20"/>
          <w:szCs w:val="20"/>
        </w:rPr>
        <w:t xml:space="preserve"> a global adjustment </w:t>
      </w:r>
      <w:r w:rsidR="00FA6CA2" w:rsidRPr="00042F16">
        <w:rPr>
          <w:rFonts w:ascii="Verdana" w:hAnsi="Verdana"/>
          <w:sz w:val="20"/>
          <w:szCs w:val="20"/>
        </w:rPr>
        <w:t>mechanism that</w:t>
      </w:r>
      <w:r w:rsidR="00DE0B70" w:rsidRPr="00042F16">
        <w:rPr>
          <w:rFonts w:ascii="Verdana" w:hAnsi="Verdana"/>
          <w:sz w:val="20"/>
          <w:szCs w:val="20"/>
        </w:rPr>
        <w:t xml:space="preserve"> integrates all types of current and future risks. </w:t>
      </w:r>
    </w:p>
    <w:p w14:paraId="0E279563" w14:textId="77777777" w:rsidR="00650143" w:rsidRDefault="00650143" w:rsidP="00C92E51">
      <w:pPr>
        <w:spacing w:after="0" w:line="240" w:lineRule="auto"/>
        <w:rPr>
          <w:rFonts w:ascii="Verdana" w:hAnsi="Verdana"/>
          <w:sz w:val="20"/>
          <w:szCs w:val="20"/>
        </w:rPr>
      </w:pPr>
    </w:p>
    <w:p w14:paraId="2B54D46C" w14:textId="63062F01" w:rsidR="00DE0B70" w:rsidRPr="00042F16" w:rsidRDefault="00DE0B70" w:rsidP="00C92E51">
      <w:pPr>
        <w:spacing w:after="0" w:line="240" w:lineRule="auto"/>
        <w:rPr>
          <w:rFonts w:ascii="Verdana" w:hAnsi="Verdana"/>
          <w:sz w:val="20"/>
          <w:szCs w:val="20"/>
        </w:rPr>
      </w:pPr>
      <w:r w:rsidRPr="00042F16">
        <w:rPr>
          <w:rFonts w:ascii="Verdana" w:hAnsi="Verdana"/>
          <w:sz w:val="20"/>
          <w:szCs w:val="20"/>
        </w:rPr>
        <w:t xml:space="preserve">The evaluation process is as follows: </w:t>
      </w:r>
    </w:p>
    <w:p w14:paraId="56FDA007" w14:textId="77777777" w:rsidR="00D0088F" w:rsidRPr="00042F16" w:rsidRDefault="00DE0B70" w:rsidP="00C92E51">
      <w:pPr>
        <w:pStyle w:val="ListParagraph"/>
        <w:numPr>
          <w:ilvl w:val="0"/>
          <w:numId w:val="23"/>
        </w:numPr>
        <w:spacing w:after="0" w:line="240" w:lineRule="auto"/>
        <w:rPr>
          <w:rFonts w:ascii="Verdana" w:hAnsi="Verdana"/>
          <w:sz w:val="20"/>
          <w:szCs w:val="20"/>
        </w:rPr>
      </w:pPr>
      <w:r w:rsidRPr="00042F16">
        <w:rPr>
          <w:rFonts w:ascii="Verdana" w:hAnsi="Verdana"/>
          <w:sz w:val="20"/>
          <w:szCs w:val="20"/>
        </w:rPr>
        <w:t xml:space="preserve">A written self-assessment of the employee based on predefined criteria. </w:t>
      </w:r>
    </w:p>
    <w:p w14:paraId="013E16E3" w14:textId="1465355A" w:rsidR="00D0088F" w:rsidRPr="00042F16" w:rsidRDefault="00DE0B70" w:rsidP="00C92E51">
      <w:pPr>
        <w:pStyle w:val="ListParagraph"/>
        <w:numPr>
          <w:ilvl w:val="0"/>
          <w:numId w:val="23"/>
        </w:numPr>
        <w:spacing w:after="0" w:line="240" w:lineRule="auto"/>
        <w:rPr>
          <w:rFonts w:ascii="Verdana" w:hAnsi="Verdana"/>
          <w:sz w:val="20"/>
          <w:szCs w:val="20"/>
        </w:rPr>
      </w:pPr>
      <w:r w:rsidRPr="00042F16">
        <w:rPr>
          <w:rFonts w:ascii="Verdana" w:hAnsi="Verdana"/>
          <w:sz w:val="20"/>
          <w:szCs w:val="20"/>
        </w:rPr>
        <w:t>An</w:t>
      </w:r>
      <w:r w:rsidR="00B70D79" w:rsidRPr="00042F16">
        <w:rPr>
          <w:rFonts w:ascii="Verdana" w:hAnsi="Verdana"/>
          <w:sz w:val="20"/>
          <w:szCs w:val="20"/>
        </w:rPr>
        <w:t xml:space="preserve"> evaluation written by his N+1;</w:t>
      </w:r>
    </w:p>
    <w:p w14:paraId="1BE18731" w14:textId="7BA2D159" w:rsidR="00D0088F" w:rsidRPr="00042F16" w:rsidRDefault="00DE0B70" w:rsidP="00C92E51">
      <w:pPr>
        <w:pStyle w:val="ListParagraph"/>
        <w:numPr>
          <w:ilvl w:val="0"/>
          <w:numId w:val="23"/>
        </w:numPr>
        <w:spacing w:after="0" w:line="240" w:lineRule="auto"/>
        <w:rPr>
          <w:rFonts w:ascii="Verdana" w:hAnsi="Verdana"/>
          <w:sz w:val="20"/>
          <w:szCs w:val="20"/>
        </w:rPr>
      </w:pPr>
      <w:r w:rsidRPr="00042F16">
        <w:rPr>
          <w:rFonts w:ascii="Verdana" w:hAnsi="Verdana"/>
          <w:sz w:val="20"/>
          <w:szCs w:val="20"/>
        </w:rPr>
        <w:t>An oral interview with the N+1 who validates the achievement of the objectives and the status progress of ongoing projects. It sets new individual objectives</w:t>
      </w:r>
      <w:r w:rsidR="00386551">
        <w:rPr>
          <w:rFonts w:ascii="Verdana" w:hAnsi="Verdana"/>
          <w:sz w:val="20"/>
          <w:szCs w:val="20"/>
        </w:rPr>
        <w:t xml:space="preserve"> to the future</w:t>
      </w:r>
      <w:r w:rsidRPr="00042F16">
        <w:rPr>
          <w:rFonts w:ascii="Verdana" w:hAnsi="Verdana"/>
          <w:sz w:val="20"/>
          <w:szCs w:val="20"/>
        </w:rPr>
        <w:t xml:space="preserve"> </w:t>
      </w:r>
    </w:p>
    <w:p w14:paraId="25A5091D" w14:textId="77777777" w:rsidR="00C92E51" w:rsidRPr="00042F16" w:rsidRDefault="00C92E51" w:rsidP="00650143">
      <w:pPr>
        <w:pStyle w:val="ListParagraph"/>
        <w:spacing w:after="0" w:line="240" w:lineRule="auto"/>
        <w:ind w:left="927"/>
        <w:rPr>
          <w:rFonts w:ascii="Verdana" w:hAnsi="Verdana"/>
          <w:sz w:val="20"/>
          <w:szCs w:val="20"/>
        </w:rPr>
      </w:pPr>
    </w:p>
    <w:p w14:paraId="1AF1773D" w14:textId="1915020C" w:rsidR="00DE0B70" w:rsidRPr="00C92E51" w:rsidRDefault="00650143" w:rsidP="00C92E51">
      <w:pPr>
        <w:pStyle w:val="Heading3"/>
        <w:spacing w:before="0" w:line="240" w:lineRule="auto"/>
        <w:ind w:left="709" w:hanging="720"/>
        <w:rPr>
          <w:rFonts w:ascii="Verdana" w:hAnsi="Verdana"/>
          <w:b/>
          <w:color w:val="6CACE4"/>
          <w:sz w:val="22"/>
          <w:szCs w:val="22"/>
        </w:rPr>
      </w:pPr>
      <w:bookmarkStart w:id="113" w:name="_Toc22716622"/>
      <w:r>
        <w:rPr>
          <w:rFonts w:ascii="Verdana" w:hAnsi="Verdana"/>
          <w:b/>
          <w:color w:val="6CACE4"/>
          <w:sz w:val="22"/>
          <w:szCs w:val="22"/>
        </w:rPr>
        <w:t xml:space="preserve"> </w:t>
      </w:r>
      <w:r w:rsidR="00B53DB5" w:rsidRPr="00C92E51">
        <w:rPr>
          <w:rFonts w:ascii="Verdana" w:hAnsi="Verdana"/>
          <w:b/>
          <w:color w:val="6CACE4"/>
          <w:sz w:val="22"/>
          <w:szCs w:val="22"/>
        </w:rPr>
        <w:t>Fixed remuneration</w:t>
      </w:r>
      <w:bookmarkEnd w:id="113"/>
    </w:p>
    <w:p w14:paraId="0FF80920" w14:textId="77777777" w:rsidR="00C92E51" w:rsidRPr="00C92E51" w:rsidRDefault="00C92E51" w:rsidP="00C92E51">
      <w:pPr>
        <w:spacing w:after="0" w:line="240" w:lineRule="auto"/>
      </w:pPr>
    </w:p>
    <w:p w14:paraId="68C4ACB5" w14:textId="6AA12001" w:rsidR="00B53DB5" w:rsidRPr="00042F16" w:rsidRDefault="00B53DB5" w:rsidP="00C92E51">
      <w:pPr>
        <w:spacing w:after="0" w:line="240" w:lineRule="auto"/>
        <w:rPr>
          <w:rFonts w:ascii="Verdana" w:hAnsi="Verdana"/>
          <w:sz w:val="20"/>
          <w:szCs w:val="20"/>
        </w:rPr>
      </w:pPr>
      <w:r w:rsidRPr="00042F16">
        <w:rPr>
          <w:rFonts w:ascii="Verdana" w:hAnsi="Verdana"/>
          <w:sz w:val="20"/>
          <w:szCs w:val="20"/>
        </w:rPr>
        <w:t xml:space="preserve">The fixed remuneration is </w:t>
      </w:r>
      <w:r w:rsidR="00560AA6" w:rsidRPr="00042F16">
        <w:rPr>
          <w:rFonts w:ascii="Verdana" w:hAnsi="Verdana"/>
          <w:sz w:val="20"/>
          <w:szCs w:val="20"/>
        </w:rPr>
        <w:t xml:space="preserve">primarily </w:t>
      </w:r>
      <w:r w:rsidRPr="00042F16">
        <w:rPr>
          <w:rFonts w:ascii="Verdana" w:hAnsi="Verdana"/>
          <w:sz w:val="20"/>
          <w:szCs w:val="20"/>
        </w:rPr>
        <w:t>based on the</w:t>
      </w:r>
      <w:r w:rsidR="00DE5FF7" w:rsidRPr="00042F16">
        <w:rPr>
          <w:rFonts w:ascii="Verdana" w:hAnsi="Verdana"/>
          <w:sz w:val="20"/>
          <w:szCs w:val="20"/>
        </w:rPr>
        <w:t xml:space="preserve"> employee’s professional experience and </w:t>
      </w:r>
      <w:r w:rsidRPr="00042F16">
        <w:rPr>
          <w:rFonts w:ascii="Verdana" w:hAnsi="Verdana"/>
          <w:sz w:val="20"/>
          <w:szCs w:val="20"/>
        </w:rPr>
        <w:t xml:space="preserve">on </w:t>
      </w:r>
      <w:r w:rsidR="00DE5FF7" w:rsidRPr="00042F16">
        <w:rPr>
          <w:rFonts w:ascii="Verdana" w:hAnsi="Verdana"/>
          <w:sz w:val="20"/>
          <w:szCs w:val="20"/>
        </w:rPr>
        <w:t xml:space="preserve">its </w:t>
      </w:r>
      <w:r w:rsidRPr="00042F16">
        <w:rPr>
          <w:rFonts w:ascii="Verdana" w:hAnsi="Verdana"/>
          <w:sz w:val="20"/>
          <w:szCs w:val="20"/>
        </w:rPr>
        <w:t>respo</w:t>
      </w:r>
      <w:r w:rsidR="00DE5FF7" w:rsidRPr="00042F16">
        <w:rPr>
          <w:rFonts w:ascii="Verdana" w:hAnsi="Verdana"/>
          <w:sz w:val="20"/>
          <w:szCs w:val="20"/>
        </w:rPr>
        <w:t xml:space="preserve">nsibilities. </w:t>
      </w:r>
      <w:r w:rsidRPr="00042F16">
        <w:rPr>
          <w:rFonts w:ascii="Verdana" w:hAnsi="Verdana"/>
          <w:sz w:val="20"/>
          <w:szCs w:val="20"/>
        </w:rPr>
        <w:t>The fixed remuneration is set out in the employment contract and it includes benefits in kind.</w:t>
      </w:r>
    </w:p>
    <w:p w14:paraId="5F9A12C1" w14:textId="77777777" w:rsidR="00650143" w:rsidRDefault="00650143" w:rsidP="00C92E51">
      <w:pPr>
        <w:spacing w:after="0" w:line="240" w:lineRule="auto"/>
        <w:rPr>
          <w:rFonts w:ascii="Verdana" w:hAnsi="Verdana"/>
          <w:sz w:val="20"/>
          <w:szCs w:val="20"/>
        </w:rPr>
      </w:pPr>
    </w:p>
    <w:p w14:paraId="397F5002" w14:textId="2827804F" w:rsidR="002E38F4" w:rsidRDefault="00B53DB5" w:rsidP="00C92E51">
      <w:pPr>
        <w:spacing w:after="0" w:line="240" w:lineRule="auto"/>
        <w:rPr>
          <w:rFonts w:ascii="Verdana" w:hAnsi="Verdana"/>
          <w:sz w:val="20"/>
          <w:szCs w:val="20"/>
        </w:rPr>
      </w:pPr>
      <w:r w:rsidRPr="00042F16">
        <w:rPr>
          <w:rFonts w:ascii="Verdana" w:hAnsi="Verdana"/>
          <w:sz w:val="20"/>
          <w:szCs w:val="20"/>
        </w:rPr>
        <w:t xml:space="preserve">Fixed compensation represents the largest portion of total compensation and allows for a flexible variable compensation policy, including the possibility of not paying variable remuneration to its employees. </w:t>
      </w:r>
    </w:p>
    <w:p w14:paraId="3982B856" w14:textId="77777777" w:rsidR="00C92E51" w:rsidRPr="00042F16" w:rsidRDefault="00C92E51" w:rsidP="00C92E51">
      <w:pPr>
        <w:spacing w:after="0" w:line="240" w:lineRule="auto"/>
        <w:rPr>
          <w:rFonts w:ascii="Verdana" w:hAnsi="Verdana"/>
          <w:sz w:val="20"/>
          <w:szCs w:val="20"/>
        </w:rPr>
      </w:pPr>
    </w:p>
    <w:p w14:paraId="10DC862F" w14:textId="55FC4AD8" w:rsidR="00B53DB5" w:rsidRPr="00C92E51" w:rsidRDefault="00650143" w:rsidP="00C92E51">
      <w:pPr>
        <w:pStyle w:val="Heading3"/>
        <w:spacing w:before="0" w:line="240" w:lineRule="auto"/>
        <w:ind w:left="709" w:hanging="720"/>
        <w:rPr>
          <w:rFonts w:ascii="Verdana" w:hAnsi="Verdana"/>
          <w:b/>
          <w:color w:val="6CACE4"/>
          <w:sz w:val="22"/>
          <w:szCs w:val="22"/>
        </w:rPr>
      </w:pPr>
      <w:bookmarkStart w:id="114" w:name="_Toc22716623"/>
      <w:r>
        <w:rPr>
          <w:rFonts w:ascii="Verdana" w:hAnsi="Verdana"/>
          <w:b/>
          <w:color w:val="6CACE4"/>
          <w:sz w:val="22"/>
          <w:szCs w:val="22"/>
        </w:rPr>
        <w:t xml:space="preserve"> </w:t>
      </w:r>
      <w:r w:rsidR="00B53DB5" w:rsidRPr="00C92E51">
        <w:rPr>
          <w:rFonts w:ascii="Verdana" w:hAnsi="Verdana"/>
          <w:b/>
          <w:color w:val="6CACE4"/>
          <w:sz w:val="22"/>
          <w:szCs w:val="22"/>
        </w:rPr>
        <w:t>Variable remuneration</w:t>
      </w:r>
      <w:bookmarkEnd w:id="114"/>
    </w:p>
    <w:p w14:paraId="2098C8FF" w14:textId="77777777" w:rsidR="00C92E51" w:rsidRPr="00C92E51" w:rsidRDefault="00C92E51" w:rsidP="00C92E51">
      <w:pPr>
        <w:spacing w:after="0" w:line="240" w:lineRule="auto"/>
      </w:pPr>
    </w:p>
    <w:p w14:paraId="797C3726" w14:textId="4E459E4D" w:rsidR="00B53DB5" w:rsidRPr="00042F16" w:rsidRDefault="00B53DB5" w:rsidP="00C92E51">
      <w:pPr>
        <w:spacing w:after="0" w:line="240" w:lineRule="auto"/>
        <w:rPr>
          <w:rFonts w:ascii="Verdana" w:hAnsi="Verdana"/>
          <w:sz w:val="20"/>
          <w:szCs w:val="20"/>
        </w:rPr>
      </w:pPr>
      <w:r w:rsidRPr="00042F16">
        <w:rPr>
          <w:rFonts w:ascii="Verdana" w:hAnsi="Verdana"/>
          <w:sz w:val="20"/>
          <w:szCs w:val="20"/>
        </w:rPr>
        <w:t xml:space="preserve">Variable remuneration is awarded by combining: </w:t>
      </w:r>
    </w:p>
    <w:p w14:paraId="2E05DD28" w14:textId="5BB8EA0E" w:rsidR="00B53DB5" w:rsidRPr="00042F16" w:rsidRDefault="00DE5FF7" w:rsidP="00C92E51">
      <w:pPr>
        <w:pStyle w:val="ListParagraph"/>
        <w:numPr>
          <w:ilvl w:val="0"/>
          <w:numId w:val="24"/>
        </w:numPr>
        <w:spacing w:after="0" w:line="240" w:lineRule="auto"/>
        <w:rPr>
          <w:rFonts w:ascii="Verdana" w:hAnsi="Verdana"/>
          <w:sz w:val="20"/>
          <w:szCs w:val="20"/>
        </w:rPr>
      </w:pPr>
      <w:r w:rsidRPr="00042F16">
        <w:rPr>
          <w:rFonts w:ascii="Verdana" w:hAnsi="Verdana"/>
          <w:sz w:val="20"/>
          <w:szCs w:val="20"/>
        </w:rPr>
        <w:t>Employee’s individual performance</w:t>
      </w:r>
      <w:r w:rsidR="00B70D79" w:rsidRPr="00042F16">
        <w:rPr>
          <w:rFonts w:ascii="Verdana" w:hAnsi="Verdana"/>
          <w:sz w:val="20"/>
          <w:szCs w:val="20"/>
        </w:rPr>
        <w:t>;</w:t>
      </w:r>
    </w:p>
    <w:p w14:paraId="3FF08862" w14:textId="0B7010E1" w:rsidR="00B53DB5" w:rsidRPr="00042F16" w:rsidRDefault="00B53DB5" w:rsidP="00C92E51">
      <w:pPr>
        <w:pStyle w:val="ListParagraph"/>
        <w:numPr>
          <w:ilvl w:val="0"/>
          <w:numId w:val="24"/>
        </w:numPr>
        <w:spacing w:after="0" w:line="240" w:lineRule="auto"/>
        <w:rPr>
          <w:rFonts w:ascii="Verdana" w:hAnsi="Verdana"/>
          <w:sz w:val="20"/>
          <w:szCs w:val="20"/>
        </w:rPr>
      </w:pPr>
      <w:r w:rsidRPr="00042F16">
        <w:rPr>
          <w:rFonts w:ascii="Verdana" w:hAnsi="Verdana"/>
          <w:sz w:val="20"/>
          <w:szCs w:val="20"/>
        </w:rPr>
        <w:t>The performance of the business unit concerned</w:t>
      </w:r>
      <w:r w:rsidR="00B70D79" w:rsidRPr="00042F16">
        <w:rPr>
          <w:rFonts w:ascii="Verdana" w:hAnsi="Verdana"/>
          <w:sz w:val="20"/>
          <w:szCs w:val="20"/>
        </w:rPr>
        <w:t>;</w:t>
      </w:r>
    </w:p>
    <w:p w14:paraId="100CA7BA" w14:textId="57457371" w:rsidR="00B53DB5" w:rsidRPr="00042F16" w:rsidRDefault="00DE5FF7" w:rsidP="00C92E51">
      <w:pPr>
        <w:pStyle w:val="ListParagraph"/>
        <w:numPr>
          <w:ilvl w:val="0"/>
          <w:numId w:val="24"/>
        </w:numPr>
        <w:spacing w:after="0" w:line="240" w:lineRule="auto"/>
        <w:rPr>
          <w:rFonts w:ascii="Verdana" w:hAnsi="Verdana"/>
          <w:sz w:val="20"/>
          <w:szCs w:val="20"/>
        </w:rPr>
      </w:pPr>
      <w:r w:rsidRPr="00042F16">
        <w:rPr>
          <w:rFonts w:ascii="Verdana" w:hAnsi="Verdana"/>
          <w:sz w:val="20"/>
          <w:szCs w:val="20"/>
        </w:rPr>
        <w:t>The results of</w:t>
      </w:r>
      <w:r w:rsidR="00B53DB5" w:rsidRPr="00042F16">
        <w:rPr>
          <w:rFonts w:ascii="Verdana" w:hAnsi="Verdana"/>
          <w:sz w:val="20"/>
          <w:szCs w:val="20"/>
        </w:rPr>
        <w:t xml:space="preserve"> </w:t>
      </w:r>
      <w:r w:rsidR="00CE6602" w:rsidRPr="00042F16">
        <w:rPr>
          <w:rFonts w:ascii="Verdana" w:hAnsi="Verdana"/>
          <w:sz w:val="20"/>
          <w:szCs w:val="20"/>
        </w:rPr>
        <w:t>G</w:t>
      </w:r>
      <w:r w:rsidR="00B53DB5" w:rsidRPr="00042F16">
        <w:rPr>
          <w:rFonts w:ascii="Verdana" w:hAnsi="Verdana"/>
          <w:sz w:val="20"/>
          <w:szCs w:val="20"/>
        </w:rPr>
        <w:t xml:space="preserve">roup. </w:t>
      </w:r>
    </w:p>
    <w:p w14:paraId="34CE7245" w14:textId="77777777" w:rsidR="00650143" w:rsidRDefault="00650143" w:rsidP="00C92E51">
      <w:pPr>
        <w:spacing w:after="0" w:line="240" w:lineRule="auto"/>
        <w:rPr>
          <w:rFonts w:ascii="Verdana" w:hAnsi="Verdana"/>
          <w:sz w:val="20"/>
          <w:szCs w:val="20"/>
        </w:rPr>
      </w:pPr>
    </w:p>
    <w:p w14:paraId="55B64AC4" w14:textId="40AB9154" w:rsidR="00B53DB5" w:rsidRPr="00042F16" w:rsidRDefault="00FA6CA2" w:rsidP="00C92E51">
      <w:pPr>
        <w:spacing w:after="0" w:line="240" w:lineRule="auto"/>
        <w:rPr>
          <w:rFonts w:ascii="Verdana" w:hAnsi="Verdana"/>
          <w:sz w:val="20"/>
          <w:szCs w:val="20"/>
        </w:rPr>
      </w:pPr>
      <w:r w:rsidRPr="00042F16">
        <w:rPr>
          <w:rFonts w:ascii="Verdana" w:hAnsi="Verdana"/>
          <w:sz w:val="20"/>
          <w:szCs w:val="20"/>
        </w:rPr>
        <w:t>The sale of specific financial instruments or a class of financial instruments is not the only criteria that will influence the variable remuneration.</w:t>
      </w:r>
      <w:r w:rsidR="00B53DB5" w:rsidRPr="00042F16">
        <w:rPr>
          <w:rFonts w:ascii="Verdana" w:hAnsi="Verdana"/>
          <w:sz w:val="20"/>
          <w:szCs w:val="20"/>
        </w:rPr>
        <w:t xml:space="preserve"> It reflects sustainable, risk-adjusted performance that exceeds expectations required for the employee's function. Variable compensation is not guaranteed and does not encourage excessive risk taking. </w:t>
      </w:r>
    </w:p>
    <w:p w14:paraId="6F029A14" w14:textId="77777777" w:rsidR="00650143" w:rsidRDefault="00650143" w:rsidP="00C92E51">
      <w:pPr>
        <w:spacing w:after="0" w:line="240" w:lineRule="auto"/>
        <w:rPr>
          <w:rFonts w:ascii="Verdana" w:hAnsi="Verdana"/>
          <w:sz w:val="20"/>
          <w:szCs w:val="20"/>
        </w:rPr>
      </w:pPr>
    </w:p>
    <w:p w14:paraId="16FA69D4" w14:textId="7345517D" w:rsidR="00B53DB5" w:rsidRPr="00042F16" w:rsidRDefault="00B53DB5" w:rsidP="00C92E51">
      <w:pPr>
        <w:spacing w:after="0" w:line="240" w:lineRule="auto"/>
        <w:rPr>
          <w:rFonts w:ascii="Verdana" w:hAnsi="Verdana"/>
          <w:sz w:val="20"/>
          <w:szCs w:val="20"/>
        </w:rPr>
      </w:pPr>
      <w:r w:rsidRPr="00042F16">
        <w:rPr>
          <w:rFonts w:ascii="Verdana" w:hAnsi="Verdana"/>
          <w:sz w:val="20"/>
          <w:szCs w:val="20"/>
        </w:rPr>
        <w:t>The determination and method of calculating variable compensation does not encourage persons concerned to promote their own interests or th</w:t>
      </w:r>
      <w:r w:rsidR="00750EAC" w:rsidRPr="00042F16">
        <w:rPr>
          <w:rFonts w:ascii="Verdana" w:hAnsi="Verdana"/>
          <w:sz w:val="20"/>
          <w:szCs w:val="20"/>
        </w:rPr>
        <w:t>e Company’s interests in</w:t>
      </w:r>
      <w:r w:rsidRPr="00042F16">
        <w:rPr>
          <w:rFonts w:ascii="Verdana" w:hAnsi="Verdana"/>
          <w:sz w:val="20"/>
          <w:szCs w:val="20"/>
        </w:rPr>
        <w:t xml:space="preserve"> the detriment of customers. </w:t>
      </w:r>
    </w:p>
    <w:p w14:paraId="51DDE960" w14:textId="77777777" w:rsidR="00650143" w:rsidRDefault="00650143" w:rsidP="00C92E51">
      <w:pPr>
        <w:spacing w:after="0" w:line="240" w:lineRule="auto"/>
        <w:rPr>
          <w:rFonts w:ascii="Verdana" w:hAnsi="Verdana"/>
          <w:sz w:val="20"/>
          <w:szCs w:val="20"/>
        </w:rPr>
      </w:pPr>
    </w:p>
    <w:p w14:paraId="173E76A9" w14:textId="1AB5C92A" w:rsidR="001F6557" w:rsidRDefault="00B53DB5" w:rsidP="00C92E51">
      <w:pPr>
        <w:spacing w:after="0" w:line="240" w:lineRule="auto"/>
        <w:rPr>
          <w:rFonts w:ascii="Verdana" w:hAnsi="Verdana"/>
          <w:sz w:val="20"/>
          <w:szCs w:val="20"/>
        </w:rPr>
      </w:pPr>
      <w:r w:rsidRPr="00042F16">
        <w:rPr>
          <w:rFonts w:ascii="Verdana" w:hAnsi="Verdana"/>
          <w:sz w:val="20"/>
          <w:szCs w:val="20"/>
        </w:rPr>
        <w:t xml:space="preserve">The variable compensation </w:t>
      </w:r>
      <w:r w:rsidR="00DE5FF7" w:rsidRPr="00042F16">
        <w:rPr>
          <w:rFonts w:ascii="Verdana" w:hAnsi="Verdana"/>
          <w:sz w:val="20"/>
          <w:szCs w:val="20"/>
        </w:rPr>
        <w:t xml:space="preserve">portion </w:t>
      </w:r>
      <w:r w:rsidRPr="00042F16">
        <w:rPr>
          <w:rFonts w:ascii="Verdana" w:hAnsi="Verdana"/>
          <w:sz w:val="20"/>
          <w:szCs w:val="20"/>
        </w:rPr>
        <w:t xml:space="preserve">does not exceed 100% of </w:t>
      </w:r>
      <w:r w:rsidR="00DE5FF7" w:rsidRPr="00042F16">
        <w:rPr>
          <w:rFonts w:ascii="Verdana" w:hAnsi="Verdana"/>
          <w:sz w:val="20"/>
          <w:szCs w:val="20"/>
        </w:rPr>
        <w:t xml:space="preserve">the fixed portion. However, under the approval of </w:t>
      </w:r>
      <w:r w:rsidR="00DF0FC6" w:rsidRPr="00042F16">
        <w:rPr>
          <w:rFonts w:ascii="Verdana" w:hAnsi="Verdana"/>
          <w:sz w:val="20"/>
          <w:szCs w:val="20"/>
        </w:rPr>
        <w:t>t</w:t>
      </w:r>
      <w:r w:rsidR="00957371" w:rsidRPr="00042F16">
        <w:rPr>
          <w:rFonts w:ascii="Verdana" w:hAnsi="Verdana"/>
          <w:sz w:val="20"/>
          <w:szCs w:val="20"/>
        </w:rPr>
        <w:t>he Company</w:t>
      </w:r>
      <w:r w:rsidR="00DE5FF7" w:rsidRPr="00042F16">
        <w:rPr>
          <w:rFonts w:ascii="Verdana" w:hAnsi="Verdana"/>
          <w:sz w:val="20"/>
          <w:szCs w:val="20"/>
        </w:rPr>
        <w:t xml:space="preserve"> it can exceptionally reach </w:t>
      </w:r>
      <w:r w:rsidRPr="00042F16">
        <w:rPr>
          <w:rFonts w:ascii="Verdana" w:hAnsi="Verdana"/>
          <w:sz w:val="20"/>
          <w:szCs w:val="20"/>
        </w:rPr>
        <w:t>a maximum of 200%</w:t>
      </w:r>
      <w:r w:rsidR="00DE5FF7" w:rsidRPr="00042F16">
        <w:rPr>
          <w:rFonts w:ascii="Verdana" w:hAnsi="Verdana"/>
          <w:sz w:val="20"/>
          <w:szCs w:val="20"/>
        </w:rPr>
        <w:t>.</w:t>
      </w:r>
      <w:r w:rsidRPr="00042F16">
        <w:rPr>
          <w:rFonts w:ascii="Verdana" w:hAnsi="Verdana"/>
          <w:sz w:val="20"/>
          <w:szCs w:val="20"/>
        </w:rPr>
        <w:t xml:space="preserve"> </w:t>
      </w:r>
      <w:r w:rsidR="001F6557" w:rsidRPr="00042F16">
        <w:rPr>
          <w:rFonts w:ascii="Verdana" w:hAnsi="Verdana"/>
          <w:sz w:val="20"/>
          <w:szCs w:val="20"/>
        </w:rPr>
        <w:t>Table below summarises the split between fixed and variabl</w:t>
      </w:r>
      <w:r w:rsidR="00821081">
        <w:rPr>
          <w:rFonts w:ascii="Verdana" w:hAnsi="Verdana"/>
          <w:sz w:val="20"/>
          <w:szCs w:val="20"/>
        </w:rPr>
        <w:t>e remuneration for the year 2019</w:t>
      </w:r>
      <w:r w:rsidR="00C609D7" w:rsidRPr="00042F16">
        <w:rPr>
          <w:rFonts w:ascii="Verdana" w:hAnsi="Verdana"/>
          <w:sz w:val="20"/>
          <w:szCs w:val="20"/>
        </w:rPr>
        <w:t xml:space="preserve"> for 7 ComEx members</w:t>
      </w:r>
      <w:r w:rsidR="00BC46FF">
        <w:rPr>
          <w:rFonts w:ascii="Verdana" w:hAnsi="Verdana"/>
          <w:sz w:val="20"/>
          <w:szCs w:val="20"/>
        </w:rPr>
        <w:t xml:space="preserve"> and 25</w:t>
      </w:r>
      <w:r w:rsidR="00027A30" w:rsidRPr="00042F16">
        <w:rPr>
          <w:rFonts w:ascii="Verdana" w:hAnsi="Verdana"/>
          <w:sz w:val="20"/>
          <w:szCs w:val="20"/>
        </w:rPr>
        <w:t xml:space="preserve"> staff members </w:t>
      </w:r>
      <w:r w:rsidR="00C85EF9" w:rsidRPr="00042F16">
        <w:rPr>
          <w:rFonts w:ascii="Verdana" w:hAnsi="Verdana"/>
          <w:sz w:val="20"/>
          <w:szCs w:val="20"/>
        </w:rPr>
        <w:t xml:space="preserve">of The Company </w:t>
      </w:r>
      <w:r w:rsidR="00027A30" w:rsidRPr="00042F16">
        <w:rPr>
          <w:rFonts w:ascii="Verdana" w:hAnsi="Verdana"/>
          <w:sz w:val="20"/>
          <w:szCs w:val="20"/>
        </w:rPr>
        <w:t>who can be considered as material risk takers</w:t>
      </w:r>
      <w:r w:rsidR="001F6557" w:rsidRPr="00042F16">
        <w:rPr>
          <w:rFonts w:ascii="Verdana" w:hAnsi="Verdana"/>
          <w:sz w:val="20"/>
          <w:szCs w:val="20"/>
        </w:rPr>
        <w:t>.</w:t>
      </w:r>
    </w:p>
    <w:p w14:paraId="206390EA" w14:textId="77777777" w:rsidR="00C92E51" w:rsidRPr="00042F16" w:rsidRDefault="00C92E51" w:rsidP="00C92E51">
      <w:pPr>
        <w:spacing w:after="0" w:line="240" w:lineRule="auto"/>
        <w:rPr>
          <w:rFonts w:ascii="Verdana" w:hAnsi="Verdana"/>
          <w:sz w:val="20"/>
          <w:szCs w:val="20"/>
        </w:rPr>
      </w:pPr>
    </w:p>
    <w:tbl>
      <w:tblPr>
        <w:tblW w:w="10281" w:type="dxa"/>
        <w:tblInd w:w="10" w:type="dxa"/>
        <w:tblLook w:val="04A0" w:firstRow="1" w:lastRow="0" w:firstColumn="1" w:lastColumn="0" w:noHBand="0" w:noVBand="1"/>
      </w:tblPr>
      <w:tblGrid>
        <w:gridCol w:w="1252"/>
        <w:gridCol w:w="1252"/>
        <w:gridCol w:w="1252"/>
        <w:gridCol w:w="1112"/>
        <w:gridCol w:w="1232"/>
        <w:gridCol w:w="1052"/>
        <w:gridCol w:w="1052"/>
        <w:gridCol w:w="817"/>
        <w:gridCol w:w="565"/>
        <w:gridCol w:w="826"/>
      </w:tblGrid>
      <w:tr w:rsidR="00C85EF9" w:rsidRPr="00042F16" w14:paraId="438F5F1C" w14:textId="77777777" w:rsidTr="00650143">
        <w:trPr>
          <w:trHeight w:val="206"/>
        </w:trPr>
        <w:tc>
          <w:tcPr>
            <w:tcW w:w="8921" w:type="dxa"/>
            <w:gridSpan w:val="8"/>
            <w:tcBorders>
              <w:top w:val="nil"/>
              <w:left w:val="nil"/>
              <w:bottom w:val="single" w:sz="8" w:space="0" w:color="auto"/>
              <w:right w:val="nil"/>
            </w:tcBorders>
            <w:shd w:val="clear" w:color="auto" w:fill="auto"/>
            <w:noWrap/>
            <w:vAlign w:val="center"/>
            <w:hideMark/>
          </w:tcPr>
          <w:p w14:paraId="467B9961" w14:textId="6B4CEDA7" w:rsidR="00C85EF9" w:rsidRPr="00650143" w:rsidRDefault="00BC46FF" w:rsidP="00650143">
            <w:pPr>
              <w:spacing w:after="0" w:line="240" w:lineRule="auto"/>
              <w:ind w:left="-118" w:right="-1501"/>
              <w:rPr>
                <w:rFonts w:ascii="Verdana" w:eastAsia="Times New Roman" w:hAnsi="Verdana" w:cs="Arial"/>
                <w:b/>
                <w:bCs/>
                <w:i/>
                <w:iCs/>
                <w:sz w:val="20"/>
                <w:szCs w:val="20"/>
                <w:lang w:eastAsia="en-GB"/>
              </w:rPr>
            </w:pPr>
            <w:bookmarkStart w:id="115" w:name="RANGE!D10"/>
            <w:r>
              <w:rPr>
                <w:rFonts w:ascii="Verdana" w:eastAsia="Times New Roman" w:hAnsi="Verdana" w:cs="Arial"/>
                <w:b/>
                <w:bCs/>
                <w:i/>
                <w:iCs/>
                <w:sz w:val="20"/>
                <w:szCs w:val="20"/>
                <w:lang w:eastAsia="en-GB"/>
              </w:rPr>
              <w:t>Table 12</w:t>
            </w:r>
            <w:r w:rsidR="00C85EF9" w:rsidRPr="00650143">
              <w:rPr>
                <w:rFonts w:ascii="Verdana" w:eastAsia="Times New Roman" w:hAnsi="Verdana" w:cs="Arial"/>
                <w:b/>
                <w:bCs/>
                <w:i/>
                <w:iCs/>
                <w:sz w:val="20"/>
                <w:szCs w:val="20"/>
                <w:lang w:eastAsia="en-GB"/>
              </w:rPr>
              <w:t xml:space="preserve"> : Split between variable and fixed remuneration for financial year 201</w:t>
            </w:r>
            <w:bookmarkEnd w:id="115"/>
            <w:r w:rsidR="00821081">
              <w:rPr>
                <w:rFonts w:ascii="Verdana" w:eastAsia="Times New Roman" w:hAnsi="Verdana" w:cs="Arial"/>
                <w:b/>
                <w:bCs/>
                <w:i/>
                <w:iCs/>
                <w:sz w:val="20"/>
                <w:szCs w:val="20"/>
                <w:lang w:eastAsia="en-GB"/>
              </w:rPr>
              <w:t>9</w:t>
            </w:r>
          </w:p>
        </w:tc>
        <w:tc>
          <w:tcPr>
            <w:tcW w:w="1360" w:type="dxa"/>
            <w:gridSpan w:val="2"/>
            <w:tcBorders>
              <w:top w:val="nil"/>
              <w:left w:val="nil"/>
              <w:bottom w:val="nil"/>
              <w:right w:val="nil"/>
            </w:tcBorders>
            <w:shd w:val="clear" w:color="auto" w:fill="auto"/>
            <w:noWrap/>
            <w:vAlign w:val="bottom"/>
            <w:hideMark/>
          </w:tcPr>
          <w:p w14:paraId="0EB7FDC6" w14:textId="77777777" w:rsidR="00C85EF9" w:rsidRPr="00042F16" w:rsidRDefault="00C85EF9" w:rsidP="00650143">
            <w:pPr>
              <w:spacing w:after="0" w:line="240" w:lineRule="auto"/>
              <w:ind w:left="292"/>
              <w:rPr>
                <w:rFonts w:ascii="Verdana" w:eastAsia="Times New Roman" w:hAnsi="Verdana" w:cs="Arial"/>
                <w:b/>
                <w:bCs/>
                <w:i/>
                <w:iCs/>
                <w:color w:val="808080"/>
                <w:sz w:val="20"/>
                <w:szCs w:val="20"/>
                <w:lang w:eastAsia="en-GB"/>
              </w:rPr>
            </w:pPr>
          </w:p>
        </w:tc>
      </w:tr>
      <w:tr w:rsidR="00C85EF9" w:rsidRPr="00042F16" w14:paraId="41B17382" w14:textId="77777777" w:rsidTr="00650143">
        <w:trPr>
          <w:gridAfter w:val="1"/>
          <w:wAfter w:w="826" w:type="dxa"/>
          <w:trHeight w:val="297"/>
        </w:trPr>
        <w:tc>
          <w:tcPr>
            <w:tcW w:w="1232" w:type="dxa"/>
            <w:tcBorders>
              <w:top w:val="nil"/>
              <w:left w:val="single" w:sz="8" w:space="0" w:color="auto"/>
              <w:bottom w:val="single" w:sz="8" w:space="0" w:color="auto"/>
              <w:right w:val="single" w:sz="8" w:space="0" w:color="auto"/>
            </w:tcBorders>
            <w:shd w:val="clear" w:color="auto" w:fill="6CACE4"/>
            <w:vAlign w:val="center"/>
            <w:hideMark/>
          </w:tcPr>
          <w:p w14:paraId="6E408844" w14:textId="6EAE742D" w:rsidR="00C85EF9" w:rsidRPr="00042F16" w:rsidRDefault="00821081" w:rsidP="00C92E51">
            <w:pPr>
              <w:spacing w:after="0" w:line="240" w:lineRule="auto"/>
              <w:jc w:val="center"/>
              <w:rPr>
                <w:rFonts w:ascii="Verdana" w:eastAsia="Times New Roman" w:hAnsi="Verdana" w:cs="Arial"/>
                <w:b/>
                <w:bCs/>
                <w:color w:val="FFFFFF"/>
                <w:sz w:val="20"/>
                <w:szCs w:val="20"/>
                <w:lang w:eastAsia="en-GB"/>
              </w:rPr>
            </w:pPr>
            <w:r>
              <w:rPr>
                <w:rFonts w:ascii="Verdana" w:eastAsia="Times New Roman" w:hAnsi="Verdana" w:cs="Arial"/>
                <w:b/>
                <w:bCs/>
                <w:color w:val="FFFFFF"/>
                <w:sz w:val="20"/>
                <w:szCs w:val="20"/>
                <w:lang w:val="en-US" w:eastAsia="en-GB"/>
              </w:rPr>
              <w:t>Total 2019</w:t>
            </w:r>
          </w:p>
        </w:tc>
        <w:tc>
          <w:tcPr>
            <w:tcW w:w="1232" w:type="dxa"/>
            <w:tcBorders>
              <w:top w:val="nil"/>
              <w:left w:val="nil"/>
              <w:bottom w:val="single" w:sz="8" w:space="0" w:color="auto"/>
              <w:right w:val="single" w:sz="8" w:space="0" w:color="auto"/>
            </w:tcBorders>
            <w:shd w:val="clear" w:color="auto" w:fill="6CACE4"/>
            <w:vAlign w:val="center"/>
            <w:hideMark/>
          </w:tcPr>
          <w:p w14:paraId="3CB88367" w14:textId="77777777" w:rsidR="00C85EF9" w:rsidRPr="00042F16" w:rsidRDefault="00C85EF9" w:rsidP="00C92E51">
            <w:pPr>
              <w:spacing w:after="0" w:line="240" w:lineRule="auto"/>
              <w:jc w:val="center"/>
              <w:rPr>
                <w:rFonts w:ascii="Verdana" w:eastAsia="Times New Roman" w:hAnsi="Verdana" w:cs="Arial"/>
                <w:b/>
                <w:bCs/>
                <w:color w:val="FFFFFF"/>
                <w:sz w:val="20"/>
                <w:szCs w:val="20"/>
                <w:lang w:eastAsia="en-GB"/>
              </w:rPr>
            </w:pPr>
            <w:r w:rsidRPr="00042F16">
              <w:rPr>
                <w:rFonts w:ascii="Verdana" w:eastAsia="Times New Roman" w:hAnsi="Verdana" w:cs="Arial"/>
                <w:b/>
                <w:bCs/>
                <w:color w:val="FFFFFF"/>
                <w:sz w:val="20"/>
                <w:szCs w:val="20"/>
                <w:lang w:val="en-US" w:eastAsia="en-GB"/>
              </w:rPr>
              <w:t>Fix</w:t>
            </w:r>
          </w:p>
        </w:tc>
        <w:tc>
          <w:tcPr>
            <w:tcW w:w="1232" w:type="dxa"/>
            <w:tcBorders>
              <w:top w:val="nil"/>
              <w:left w:val="nil"/>
              <w:bottom w:val="single" w:sz="8" w:space="0" w:color="auto"/>
              <w:right w:val="single" w:sz="8" w:space="0" w:color="auto"/>
            </w:tcBorders>
            <w:shd w:val="clear" w:color="auto" w:fill="6CACE4"/>
            <w:vAlign w:val="center"/>
            <w:hideMark/>
          </w:tcPr>
          <w:p w14:paraId="0D95D313" w14:textId="77777777" w:rsidR="00C85EF9" w:rsidRPr="00042F16" w:rsidRDefault="00C85EF9" w:rsidP="00C92E51">
            <w:pPr>
              <w:spacing w:after="0" w:line="240" w:lineRule="auto"/>
              <w:jc w:val="center"/>
              <w:rPr>
                <w:rFonts w:ascii="Verdana" w:eastAsia="Times New Roman" w:hAnsi="Verdana" w:cs="Arial"/>
                <w:b/>
                <w:bCs/>
                <w:color w:val="FFFFFF"/>
                <w:sz w:val="20"/>
                <w:szCs w:val="20"/>
                <w:lang w:eastAsia="en-GB"/>
              </w:rPr>
            </w:pPr>
            <w:r w:rsidRPr="00042F16">
              <w:rPr>
                <w:rFonts w:ascii="Verdana" w:eastAsia="Times New Roman" w:hAnsi="Verdana" w:cs="Arial"/>
                <w:b/>
                <w:bCs/>
                <w:color w:val="FFFFFF"/>
                <w:sz w:val="20"/>
                <w:szCs w:val="20"/>
                <w:lang w:val="en-US" w:eastAsia="en-GB"/>
              </w:rPr>
              <w:t>Variable *</w:t>
            </w:r>
          </w:p>
        </w:tc>
        <w:tc>
          <w:tcPr>
            <w:tcW w:w="1095" w:type="dxa"/>
            <w:tcBorders>
              <w:top w:val="nil"/>
              <w:left w:val="nil"/>
              <w:bottom w:val="single" w:sz="8" w:space="0" w:color="auto"/>
              <w:right w:val="single" w:sz="8" w:space="0" w:color="auto"/>
            </w:tcBorders>
            <w:shd w:val="clear" w:color="auto" w:fill="6CACE4"/>
            <w:vAlign w:val="center"/>
            <w:hideMark/>
          </w:tcPr>
          <w:p w14:paraId="47CF2C69" w14:textId="77777777" w:rsidR="00C85EF9" w:rsidRPr="00042F16" w:rsidRDefault="00C85EF9" w:rsidP="00C92E51">
            <w:pPr>
              <w:spacing w:after="0" w:line="240" w:lineRule="auto"/>
              <w:jc w:val="center"/>
              <w:rPr>
                <w:rFonts w:ascii="Verdana" w:eastAsia="Times New Roman" w:hAnsi="Verdana" w:cs="Arial"/>
                <w:b/>
                <w:bCs/>
                <w:color w:val="FFFFFF"/>
                <w:sz w:val="20"/>
                <w:szCs w:val="20"/>
                <w:lang w:eastAsia="en-GB"/>
              </w:rPr>
            </w:pPr>
            <w:r w:rsidRPr="00042F16">
              <w:rPr>
                <w:rFonts w:ascii="Verdana" w:eastAsia="Times New Roman" w:hAnsi="Verdana" w:cs="Arial"/>
                <w:b/>
                <w:bCs/>
                <w:color w:val="FFFFFF"/>
                <w:sz w:val="20"/>
                <w:szCs w:val="20"/>
                <w:lang w:val="en-US" w:eastAsia="en-GB"/>
              </w:rPr>
              <w:t>Number of persons</w:t>
            </w:r>
          </w:p>
        </w:tc>
        <w:tc>
          <w:tcPr>
            <w:tcW w:w="1232" w:type="dxa"/>
            <w:tcBorders>
              <w:top w:val="nil"/>
              <w:left w:val="nil"/>
              <w:bottom w:val="single" w:sz="8" w:space="0" w:color="auto"/>
              <w:right w:val="single" w:sz="8" w:space="0" w:color="auto"/>
            </w:tcBorders>
            <w:shd w:val="clear" w:color="auto" w:fill="6CACE4"/>
            <w:vAlign w:val="center"/>
            <w:hideMark/>
          </w:tcPr>
          <w:p w14:paraId="71E78DEF" w14:textId="77777777" w:rsidR="00C85EF9" w:rsidRPr="00042F16" w:rsidRDefault="00C85EF9" w:rsidP="00C92E51">
            <w:pPr>
              <w:spacing w:after="0" w:line="240" w:lineRule="auto"/>
              <w:jc w:val="center"/>
              <w:rPr>
                <w:rFonts w:ascii="Verdana" w:eastAsia="Times New Roman" w:hAnsi="Verdana" w:cs="Arial"/>
                <w:b/>
                <w:bCs/>
                <w:color w:val="FFFFFF"/>
                <w:sz w:val="20"/>
                <w:szCs w:val="20"/>
                <w:lang w:eastAsia="en-GB"/>
              </w:rPr>
            </w:pPr>
            <w:r w:rsidRPr="00042F16">
              <w:rPr>
                <w:rFonts w:ascii="Verdana" w:eastAsia="Times New Roman" w:hAnsi="Verdana" w:cs="Arial"/>
                <w:b/>
                <w:bCs/>
                <w:color w:val="FFFFFF"/>
                <w:sz w:val="20"/>
                <w:szCs w:val="20"/>
                <w:lang w:val="en-US" w:eastAsia="en-GB"/>
              </w:rPr>
              <w:t>*First part directly</w:t>
            </w:r>
          </w:p>
        </w:tc>
        <w:tc>
          <w:tcPr>
            <w:tcW w:w="1036" w:type="dxa"/>
            <w:tcBorders>
              <w:top w:val="nil"/>
              <w:left w:val="nil"/>
              <w:bottom w:val="single" w:sz="8" w:space="0" w:color="auto"/>
              <w:right w:val="single" w:sz="8" w:space="0" w:color="auto"/>
            </w:tcBorders>
            <w:shd w:val="clear" w:color="auto" w:fill="6CACE4"/>
            <w:vAlign w:val="center"/>
            <w:hideMark/>
          </w:tcPr>
          <w:p w14:paraId="5B3D0933" w14:textId="77777777" w:rsidR="00C85EF9" w:rsidRPr="00042F16" w:rsidRDefault="00C85EF9" w:rsidP="00C92E51">
            <w:pPr>
              <w:spacing w:after="0" w:line="240" w:lineRule="auto"/>
              <w:jc w:val="center"/>
              <w:rPr>
                <w:rFonts w:ascii="Verdana" w:eastAsia="Times New Roman" w:hAnsi="Verdana" w:cs="Arial"/>
                <w:b/>
                <w:bCs/>
                <w:color w:val="FFFFFF"/>
                <w:sz w:val="20"/>
                <w:szCs w:val="20"/>
                <w:lang w:eastAsia="en-GB"/>
              </w:rPr>
            </w:pPr>
            <w:r w:rsidRPr="00042F16">
              <w:rPr>
                <w:rFonts w:ascii="Verdana" w:eastAsia="Times New Roman" w:hAnsi="Verdana" w:cs="Arial"/>
                <w:b/>
                <w:bCs/>
                <w:color w:val="FFFFFF"/>
                <w:sz w:val="20"/>
                <w:szCs w:val="20"/>
                <w:lang w:val="en-US" w:eastAsia="en-GB"/>
              </w:rPr>
              <w:t xml:space="preserve">*Part after 1 year </w:t>
            </w:r>
          </w:p>
        </w:tc>
        <w:tc>
          <w:tcPr>
            <w:tcW w:w="1036" w:type="dxa"/>
            <w:tcBorders>
              <w:top w:val="nil"/>
              <w:left w:val="nil"/>
              <w:bottom w:val="single" w:sz="8" w:space="0" w:color="auto"/>
              <w:right w:val="single" w:sz="8" w:space="0" w:color="auto"/>
            </w:tcBorders>
            <w:shd w:val="clear" w:color="auto" w:fill="6CACE4"/>
            <w:vAlign w:val="center"/>
            <w:hideMark/>
          </w:tcPr>
          <w:p w14:paraId="4F96E1A3" w14:textId="77777777" w:rsidR="00C85EF9" w:rsidRPr="00042F16" w:rsidRDefault="00C85EF9" w:rsidP="00C92E51">
            <w:pPr>
              <w:spacing w:after="0" w:line="240" w:lineRule="auto"/>
              <w:jc w:val="center"/>
              <w:rPr>
                <w:rFonts w:ascii="Verdana" w:eastAsia="Times New Roman" w:hAnsi="Verdana" w:cs="Arial"/>
                <w:b/>
                <w:bCs/>
                <w:color w:val="FFFFFF"/>
                <w:sz w:val="20"/>
                <w:szCs w:val="20"/>
                <w:lang w:eastAsia="en-GB"/>
              </w:rPr>
            </w:pPr>
            <w:r w:rsidRPr="00042F16">
              <w:rPr>
                <w:rFonts w:ascii="Verdana" w:eastAsia="Times New Roman" w:hAnsi="Verdana" w:cs="Arial"/>
                <w:b/>
                <w:bCs/>
                <w:color w:val="FFFFFF"/>
                <w:sz w:val="20"/>
                <w:szCs w:val="20"/>
                <w:lang w:val="en-US" w:eastAsia="en-GB"/>
              </w:rPr>
              <w:t xml:space="preserve">*Part after 2 year </w:t>
            </w:r>
          </w:p>
        </w:tc>
        <w:tc>
          <w:tcPr>
            <w:tcW w:w="1360" w:type="dxa"/>
            <w:gridSpan w:val="2"/>
            <w:tcBorders>
              <w:top w:val="single" w:sz="8" w:space="0" w:color="auto"/>
              <w:left w:val="nil"/>
              <w:bottom w:val="single" w:sz="8" w:space="0" w:color="auto"/>
              <w:right w:val="single" w:sz="8" w:space="0" w:color="auto"/>
            </w:tcBorders>
            <w:shd w:val="clear" w:color="auto" w:fill="6CACE4"/>
            <w:vAlign w:val="center"/>
            <w:hideMark/>
          </w:tcPr>
          <w:p w14:paraId="6A5B0A92" w14:textId="77777777" w:rsidR="00C85EF9" w:rsidRPr="00042F16" w:rsidRDefault="00C85EF9" w:rsidP="00C92E51">
            <w:pPr>
              <w:spacing w:after="0" w:line="240" w:lineRule="auto"/>
              <w:jc w:val="center"/>
              <w:rPr>
                <w:rFonts w:ascii="Verdana" w:eastAsia="Times New Roman" w:hAnsi="Verdana" w:cs="Arial"/>
                <w:b/>
                <w:bCs/>
                <w:color w:val="FFFFFF"/>
                <w:sz w:val="20"/>
                <w:szCs w:val="20"/>
                <w:lang w:eastAsia="en-GB"/>
              </w:rPr>
            </w:pPr>
            <w:r w:rsidRPr="00042F16">
              <w:rPr>
                <w:rFonts w:ascii="Verdana" w:eastAsia="Times New Roman" w:hAnsi="Verdana" w:cs="Arial"/>
                <w:b/>
                <w:bCs/>
                <w:color w:val="FFFFFF"/>
                <w:sz w:val="20"/>
                <w:szCs w:val="20"/>
                <w:lang w:val="en-US" w:eastAsia="en-GB"/>
              </w:rPr>
              <w:t xml:space="preserve">*Part deferred via </w:t>
            </w:r>
            <w:proofErr w:type="spellStart"/>
            <w:r w:rsidRPr="00042F16">
              <w:rPr>
                <w:rFonts w:ascii="Verdana" w:eastAsia="Times New Roman" w:hAnsi="Verdana" w:cs="Arial"/>
                <w:b/>
                <w:bCs/>
                <w:color w:val="FFFFFF"/>
                <w:sz w:val="20"/>
                <w:szCs w:val="20"/>
                <w:lang w:val="en-US" w:eastAsia="en-GB"/>
              </w:rPr>
              <w:t>bonusplan</w:t>
            </w:r>
            <w:proofErr w:type="spellEnd"/>
            <w:r w:rsidRPr="00042F16">
              <w:rPr>
                <w:rFonts w:ascii="Verdana" w:eastAsia="Times New Roman" w:hAnsi="Verdana" w:cs="Arial"/>
                <w:b/>
                <w:bCs/>
                <w:color w:val="FFFFFF"/>
                <w:sz w:val="20"/>
                <w:szCs w:val="20"/>
                <w:lang w:val="en-US" w:eastAsia="en-GB"/>
              </w:rPr>
              <w:t xml:space="preserve"> AXA BE</w:t>
            </w:r>
          </w:p>
        </w:tc>
      </w:tr>
      <w:tr w:rsidR="00C85EF9" w:rsidRPr="00042F16" w14:paraId="1D9A3DEF" w14:textId="77777777" w:rsidTr="00650143">
        <w:trPr>
          <w:gridAfter w:val="1"/>
          <w:wAfter w:w="826" w:type="dxa"/>
          <w:trHeight w:val="189"/>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4FA90E5A" w14:textId="5D3EF263"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6,222,025</w:t>
            </w:r>
          </w:p>
        </w:tc>
        <w:tc>
          <w:tcPr>
            <w:tcW w:w="1232" w:type="dxa"/>
            <w:tcBorders>
              <w:top w:val="nil"/>
              <w:left w:val="nil"/>
              <w:bottom w:val="single" w:sz="8" w:space="0" w:color="auto"/>
              <w:right w:val="single" w:sz="8" w:space="0" w:color="auto"/>
            </w:tcBorders>
            <w:shd w:val="clear" w:color="auto" w:fill="auto"/>
            <w:vAlign w:val="center"/>
            <w:hideMark/>
          </w:tcPr>
          <w:p w14:paraId="23988184" w14:textId="36CE497B"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4,795,159</w:t>
            </w:r>
          </w:p>
        </w:tc>
        <w:tc>
          <w:tcPr>
            <w:tcW w:w="1232" w:type="dxa"/>
            <w:tcBorders>
              <w:top w:val="nil"/>
              <w:left w:val="nil"/>
              <w:bottom w:val="single" w:sz="8" w:space="0" w:color="auto"/>
              <w:right w:val="single" w:sz="8" w:space="0" w:color="auto"/>
            </w:tcBorders>
            <w:shd w:val="clear" w:color="auto" w:fill="auto"/>
            <w:vAlign w:val="center"/>
            <w:hideMark/>
          </w:tcPr>
          <w:p w14:paraId="2CAD713B" w14:textId="01A7A6B6"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1,426,866</w:t>
            </w:r>
          </w:p>
        </w:tc>
        <w:tc>
          <w:tcPr>
            <w:tcW w:w="1095" w:type="dxa"/>
            <w:tcBorders>
              <w:top w:val="nil"/>
              <w:left w:val="nil"/>
              <w:bottom w:val="single" w:sz="8" w:space="0" w:color="auto"/>
              <w:right w:val="single" w:sz="8" w:space="0" w:color="auto"/>
            </w:tcBorders>
            <w:shd w:val="clear" w:color="auto" w:fill="auto"/>
            <w:vAlign w:val="center"/>
            <w:hideMark/>
          </w:tcPr>
          <w:p w14:paraId="14DDBAD4" w14:textId="2DA6B6F6"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32</w:t>
            </w:r>
          </w:p>
        </w:tc>
        <w:tc>
          <w:tcPr>
            <w:tcW w:w="1232" w:type="dxa"/>
            <w:tcBorders>
              <w:top w:val="nil"/>
              <w:left w:val="nil"/>
              <w:bottom w:val="single" w:sz="8" w:space="0" w:color="auto"/>
              <w:right w:val="single" w:sz="8" w:space="0" w:color="auto"/>
            </w:tcBorders>
            <w:shd w:val="clear" w:color="auto" w:fill="auto"/>
            <w:vAlign w:val="center"/>
            <w:hideMark/>
          </w:tcPr>
          <w:p w14:paraId="19551B0E" w14:textId="4B176A70"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695,676</w:t>
            </w:r>
          </w:p>
        </w:tc>
        <w:tc>
          <w:tcPr>
            <w:tcW w:w="1036" w:type="dxa"/>
            <w:tcBorders>
              <w:top w:val="nil"/>
              <w:left w:val="nil"/>
              <w:bottom w:val="single" w:sz="8" w:space="0" w:color="auto"/>
              <w:right w:val="single" w:sz="8" w:space="0" w:color="auto"/>
            </w:tcBorders>
            <w:shd w:val="clear" w:color="auto" w:fill="auto"/>
            <w:vAlign w:val="center"/>
            <w:hideMark/>
          </w:tcPr>
          <w:p w14:paraId="70FB98DD" w14:textId="65792446"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318,147</w:t>
            </w:r>
          </w:p>
        </w:tc>
        <w:tc>
          <w:tcPr>
            <w:tcW w:w="1036" w:type="dxa"/>
            <w:tcBorders>
              <w:top w:val="nil"/>
              <w:left w:val="nil"/>
              <w:bottom w:val="single" w:sz="8" w:space="0" w:color="auto"/>
              <w:right w:val="single" w:sz="8" w:space="0" w:color="auto"/>
            </w:tcBorders>
            <w:shd w:val="clear" w:color="auto" w:fill="auto"/>
            <w:vAlign w:val="center"/>
            <w:hideMark/>
          </w:tcPr>
          <w:p w14:paraId="7F2439A3" w14:textId="6003916B"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315,647</w:t>
            </w:r>
          </w:p>
        </w:tc>
        <w:tc>
          <w:tcPr>
            <w:tcW w:w="1360" w:type="dxa"/>
            <w:gridSpan w:val="2"/>
            <w:tcBorders>
              <w:top w:val="nil"/>
              <w:left w:val="nil"/>
              <w:bottom w:val="single" w:sz="8" w:space="0" w:color="auto"/>
              <w:right w:val="single" w:sz="8" w:space="0" w:color="auto"/>
            </w:tcBorders>
            <w:shd w:val="clear" w:color="auto" w:fill="auto"/>
            <w:vAlign w:val="center"/>
            <w:hideMark/>
          </w:tcPr>
          <w:p w14:paraId="2BC41D06" w14:textId="431EFFF5" w:rsidR="00C85EF9" w:rsidRPr="00042F16" w:rsidRDefault="00386551" w:rsidP="00C92E51">
            <w:pPr>
              <w:spacing w:after="0" w:line="240" w:lineRule="auto"/>
              <w:jc w:val="right"/>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97,398</w:t>
            </w:r>
          </w:p>
        </w:tc>
      </w:tr>
    </w:tbl>
    <w:p w14:paraId="2F425567" w14:textId="77777777" w:rsidR="00C85EF9" w:rsidRPr="00042F16" w:rsidRDefault="00C85EF9" w:rsidP="00C92E51">
      <w:pPr>
        <w:spacing w:after="0" w:line="240" w:lineRule="auto"/>
        <w:rPr>
          <w:rFonts w:ascii="Verdana" w:hAnsi="Verdana"/>
          <w:sz w:val="20"/>
          <w:szCs w:val="20"/>
        </w:rPr>
      </w:pPr>
    </w:p>
    <w:p w14:paraId="76BC143C" w14:textId="27498808" w:rsidR="00404461" w:rsidRPr="00042F16" w:rsidRDefault="00147A64" w:rsidP="00C92E51">
      <w:pPr>
        <w:spacing w:after="0" w:line="240" w:lineRule="auto"/>
        <w:rPr>
          <w:rFonts w:ascii="Verdana" w:hAnsi="Verdana"/>
          <w:sz w:val="20"/>
          <w:szCs w:val="20"/>
        </w:rPr>
      </w:pPr>
      <w:r w:rsidRPr="00042F16">
        <w:rPr>
          <w:rFonts w:ascii="Verdana" w:hAnsi="Verdana"/>
          <w:sz w:val="20"/>
          <w:szCs w:val="20"/>
        </w:rPr>
        <w:t>Variable remuneration</w:t>
      </w:r>
      <w:r w:rsidR="00404461" w:rsidRPr="00042F16">
        <w:rPr>
          <w:rFonts w:ascii="Verdana" w:hAnsi="Verdana"/>
          <w:sz w:val="20"/>
          <w:szCs w:val="20"/>
        </w:rPr>
        <w:t xml:space="preserve"> is only in cash and</w:t>
      </w:r>
      <w:r w:rsidRPr="00042F16">
        <w:rPr>
          <w:rFonts w:ascii="Verdana" w:hAnsi="Verdana"/>
          <w:sz w:val="20"/>
          <w:szCs w:val="20"/>
        </w:rPr>
        <w:t xml:space="preserve"> is never </w:t>
      </w:r>
      <w:r w:rsidR="00B53DB5" w:rsidRPr="00042F16">
        <w:rPr>
          <w:rFonts w:ascii="Verdana" w:hAnsi="Verdana"/>
          <w:sz w:val="20"/>
          <w:szCs w:val="20"/>
        </w:rPr>
        <w:t>paid through instruments or methods that facilitate the circum</w:t>
      </w:r>
      <w:r w:rsidRPr="00042F16">
        <w:rPr>
          <w:rFonts w:ascii="Verdana" w:hAnsi="Verdana"/>
          <w:sz w:val="20"/>
          <w:szCs w:val="20"/>
        </w:rPr>
        <w:t xml:space="preserve">vention of legal requirements. </w:t>
      </w:r>
      <w:r w:rsidR="00B53DB5" w:rsidRPr="00042F16">
        <w:rPr>
          <w:rFonts w:ascii="Verdana" w:hAnsi="Verdana"/>
          <w:sz w:val="20"/>
          <w:szCs w:val="20"/>
        </w:rPr>
        <w:t xml:space="preserve">The total volume of variable compensation does not limit </w:t>
      </w:r>
      <w:r w:rsidR="00DF0FC6" w:rsidRPr="00042F16">
        <w:rPr>
          <w:rFonts w:ascii="Verdana" w:hAnsi="Verdana"/>
          <w:sz w:val="20"/>
          <w:szCs w:val="20"/>
        </w:rPr>
        <w:t>t</w:t>
      </w:r>
      <w:r w:rsidR="00957371" w:rsidRPr="00042F16">
        <w:rPr>
          <w:rFonts w:ascii="Verdana" w:hAnsi="Verdana"/>
          <w:sz w:val="20"/>
          <w:szCs w:val="20"/>
        </w:rPr>
        <w:t>he Company</w:t>
      </w:r>
      <w:r w:rsidR="00B53DB5" w:rsidRPr="00042F16">
        <w:rPr>
          <w:rFonts w:ascii="Verdana" w:hAnsi="Verdana"/>
          <w:sz w:val="20"/>
          <w:szCs w:val="20"/>
        </w:rPr>
        <w:t>'s ability to strengthen its financial base.</w:t>
      </w:r>
    </w:p>
    <w:p w14:paraId="68DCA746" w14:textId="77777777" w:rsidR="00650143" w:rsidRDefault="00650143" w:rsidP="00C92E51">
      <w:pPr>
        <w:spacing w:after="0" w:line="240" w:lineRule="auto"/>
        <w:rPr>
          <w:rFonts w:ascii="Verdana" w:hAnsi="Verdana"/>
          <w:sz w:val="20"/>
          <w:szCs w:val="20"/>
        </w:rPr>
      </w:pPr>
    </w:p>
    <w:p w14:paraId="1DC57D03" w14:textId="7EDC4152" w:rsidR="00B53DB5" w:rsidRPr="00042F16" w:rsidRDefault="00404461" w:rsidP="00C92E51">
      <w:pPr>
        <w:spacing w:after="0" w:line="240" w:lineRule="auto"/>
        <w:rPr>
          <w:rFonts w:ascii="Verdana" w:hAnsi="Verdana"/>
          <w:sz w:val="20"/>
          <w:szCs w:val="20"/>
        </w:rPr>
      </w:pPr>
      <w:r w:rsidRPr="00042F16">
        <w:rPr>
          <w:rFonts w:ascii="Verdana" w:hAnsi="Verdana"/>
          <w:sz w:val="20"/>
          <w:szCs w:val="20"/>
        </w:rPr>
        <w:t>Variable remuneration is deferred as such: 40% is directly paid, 30% after one year and the third part (30%) after two years.</w:t>
      </w:r>
    </w:p>
    <w:p w14:paraId="580C3F13" w14:textId="77777777" w:rsidR="00650143" w:rsidRDefault="00650143" w:rsidP="00C92E51">
      <w:pPr>
        <w:spacing w:after="0" w:line="240" w:lineRule="auto"/>
        <w:rPr>
          <w:rFonts w:ascii="Verdana" w:hAnsi="Verdana"/>
          <w:sz w:val="20"/>
          <w:szCs w:val="20"/>
        </w:rPr>
      </w:pPr>
    </w:p>
    <w:p w14:paraId="3A3F92D7" w14:textId="33A549F1" w:rsidR="00B53DB5" w:rsidRPr="00042F16" w:rsidRDefault="00B53DB5" w:rsidP="00C92E51">
      <w:pPr>
        <w:spacing w:after="0" w:line="240" w:lineRule="auto"/>
        <w:rPr>
          <w:rFonts w:ascii="Verdana" w:hAnsi="Verdana"/>
          <w:sz w:val="20"/>
          <w:szCs w:val="20"/>
        </w:rPr>
      </w:pPr>
      <w:r w:rsidRPr="00042F16">
        <w:rPr>
          <w:rFonts w:ascii="Verdana" w:hAnsi="Verdana"/>
          <w:sz w:val="20"/>
          <w:szCs w:val="20"/>
        </w:rPr>
        <w:t xml:space="preserve">The launch of new products or services and the use of new channels of distributions are in accordance with the compensation policies and practices within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and take into account the potential risks generated by these products, services or channels.</w:t>
      </w:r>
    </w:p>
    <w:p w14:paraId="10B8F2BA" w14:textId="77777777" w:rsidR="00B6671E" w:rsidRPr="00042F16" w:rsidRDefault="00B6671E" w:rsidP="00C92E51">
      <w:pPr>
        <w:spacing w:after="0" w:line="240" w:lineRule="auto"/>
        <w:rPr>
          <w:rFonts w:ascii="Verdana" w:hAnsi="Verdana"/>
          <w:sz w:val="20"/>
          <w:szCs w:val="20"/>
        </w:rPr>
      </w:pPr>
    </w:p>
    <w:p w14:paraId="68EE88CD" w14:textId="7148971D" w:rsidR="00D97BF3" w:rsidRPr="00C92E51" w:rsidRDefault="00D97BF3" w:rsidP="00C92E51">
      <w:pPr>
        <w:pStyle w:val="Heading2"/>
        <w:spacing w:before="0" w:line="240" w:lineRule="auto"/>
        <w:ind w:left="709"/>
        <w:rPr>
          <w:rFonts w:ascii="Verdana" w:hAnsi="Verdana"/>
          <w:b/>
          <w:color w:val="6CACE4"/>
          <w:sz w:val="22"/>
          <w:szCs w:val="22"/>
        </w:rPr>
      </w:pPr>
      <w:bookmarkStart w:id="116" w:name="_Toc22716624"/>
      <w:r w:rsidRPr="00C92E51">
        <w:rPr>
          <w:rFonts w:ascii="Verdana" w:hAnsi="Verdana"/>
          <w:b/>
          <w:color w:val="6CACE4"/>
          <w:sz w:val="22"/>
          <w:szCs w:val="22"/>
        </w:rPr>
        <w:t>Remuneration of Management</w:t>
      </w:r>
      <w:bookmarkEnd w:id="116"/>
      <w:r w:rsidRPr="00C92E51">
        <w:rPr>
          <w:rFonts w:ascii="Verdana" w:hAnsi="Verdana"/>
          <w:b/>
          <w:color w:val="6CACE4"/>
          <w:sz w:val="22"/>
          <w:szCs w:val="22"/>
        </w:rPr>
        <w:t xml:space="preserve"> </w:t>
      </w:r>
    </w:p>
    <w:p w14:paraId="417ACD78" w14:textId="77777777" w:rsidR="00C92E51" w:rsidRPr="00C92E51" w:rsidRDefault="00C92E51" w:rsidP="00C92E51">
      <w:pPr>
        <w:spacing w:after="0" w:line="240" w:lineRule="auto"/>
      </w:pPr>
    </w:p>
    <w:p w14:paraId="08DA2A86" w14:textId="7866ECAC" w:rsidR="00D97BF3" w:rsidRPr="00042F16" w:rsidRDefault="00D97BF3" w:rsidP="00C92E51">
      <w:pPr>
        <w:spacing w:after="0" w:line="240" w:lineRule="auto"/>
        <w:rPr>
          <w:rFonts w:ascii="Verdana" w:hAnsi="Verdana"/>
          <w:sz w:val="20"/>
          <w:szCs w:val="20"/>
        </w:rPr>
      </w:pPr>
      <w:r w:rsidRPr="00042F16">
        <w:rPr>
          <w:rFonts w:ascii="Verdana" w:hAnsi="Verdana"/>
          <w:sz w:val="20"/>
          <w:szCs w:val="20"/>
        </w:rPr>
        <w:t xml:space="preserve">No employee of </w:t>
      </w:r>
      <w:r w:rsidR="00DF0FC6" w:rsidRPr="00042F16">
        <w:rPr>
          <w:rFonts w:ascii="Verdana" w:hAnsi="Verdana"/>
          <w:sz w:val="20"/>
          <w:szCs w:val="20"/>
        </w:rPr>
        <w:t>t</w:t>
      </w:r>
      <w:r w:rsidR="00957371" w:rsidRPr="00042F16">
        <w:rPr>
          <w:rFonts w:ascii="Verdana" w:hAnsi="Verdana"/>
          <w:sz w:val="20"/>
          <w:szCs w:val="20"/>
        </w:rPr>
        <w:t>he Company</w:t>
      </w:r>
      <w:r w:rsidRPr="00042F16">
        <w:rPr>
          <w:rFonts w:ascii="Verdana" w:hAnsi="Verdana"/>
          <w:sz w:val="20"/>
          <w:szCs w:val="20"/>
        </w:rPr>
        <w:t xml:space="preserve"> or its subsidiaries is in any of the following cate</w:t>
      </w:r>
      <w:r w:rsidR="00C72F32" w:rsidRPr="00042F16">
        <w:rPr>
          <w:rFonts w:ascii="Verdana" w:hAnsi="Verdana"/>
          <w:sz w:val="20"/>
          <w:szCs w:val="20"/>
        </w:rPr>
        <w:t xml:space="preserve">gories remuneration exceeding EUR </w:t>
      </w:r>
      <w:r w:rsidRPr="00042F16">
        <w:rPr>
          <w:rFonts w:ascii="Verdana" w:hAnsi="Verdana"/>
          <w:sz w:val="20"/>
          <w:szCs w:val="20"/>
        </w:rPr>
        <w:t>1,000,000.</w:t>
      </w:r>
    </w:p>
    <w:p w14:paraId="40B22F78" w14:textId="77777777" w:rsidR="00650143" w:rsidRDefault="00650143" w:rsidP="00C92E51">
      <w:pPr>
        <w:spacing w:after="0" w:line="240" w:lineRule="auto"/>
        <w:rPr>
          <w:rFonts w:ascii="Verdana" w:hAnsi="Verdana"/>
          <w:sz w:val="20"/>
          <w:szCs w:val="20"/>
        </w:rPr>
      </w:pPr>
    </w:p>
    <w:p w14:paraId="72477AB2" w14:textId="339FCE9D" w:rsidR="00B53DB5" w:rsidRPr="00042F16" w:rsidRDefault="00821081" w:rsidP="00C92E51">
      <w:pPr>
        <w:spacing w:after="0" w:line="240" w:lineRule="auto"/>
        <w:rPr>
          <w:rFonts w:ascii="Verdana" w:hAnsi="Verdana"/>
          <w:sz w:val="20"/>
          <w:szCs w:val="20"/>
        </w:rPr>
      </w:pPr>
      <w:r>
        <w:rPr>
          <w:rFonts w:ascii="Verdana" w:hAnsi="Verdana"/>
          <w:sz w:val="20"/>
          <w:szCs w:val="20"/>
        </w:rPr>
        <w:t>In the course of the 2019</w:t>
      </w:r>
      <w:r w:rsidR="00D97BF3" w:rsidRPr="00042F16">
        <w:rPr>
          <w:rFonts w:ascii="Verdana" w:hAnsi="Verdana"/>
          <w:sz w:val="20"/>
          <w:szCs w:val="20"/>
        </w:rPr>
        <w:t xml:space="preserve"> financial year, the remuneration awarded to the members of the </w:t>
      </w:r>
      <w:proofErr w:type="spellStart"/>
      <w:r w:rsidR="000C6BA5" w:rsidRPr="00042F16">
        <w:rPr>
          <w:rFonts w:ascii="Verdana" w:hAnsi="Verdana"/>
          <w:sz w:val="20"/>
          <w:szCs w:val="20"/>
        </w:rPr>
        <w:t>BoD</w:t>
      </w:r>
      <w:proofErr w:type="spellEnd"/>
      <w:r w:rsidR="00866002" w:rsidRPr="00042F16">
        <w:rPr>
          <w:rFonts w:ascii="Verdana" w:hAnsi="Verdana"/>
          <w:sz w:val="20"/>
          <w:szCs w:val="20"/>
        </w:rPr>
        <w:t xml:space="preserve"> </w:t>
      </w:r>
      <w:r w:rsidR="00D97BF3" w:rsidRPr="00042F16">
        <w:rPr>
          <w:rFonts w:ascii="Verdana" w:hAnsi="Verdana"/>
          <w:sz w:val="20"/>
          <w:szCs w:val="20"/>
        </w:rPr>
        <w:t>amounted to</w:t>
      </w:r>
      <w:r w:rsidR="00C72F32" w:rsidRPr="00042F16">
        <w:rPr>
          <w:rFonts w:ascii="Verdana" w:hAnsi="Verdana"/>
          <w:sz w:val="20"/>
          <w:szCs w:val="20"/>
        </w:rPr>
        <w:t xml:space="preserve"> EUR</w:t>
      </w:r>
      <w:r w:rsidR="0055752E" w:rsidRPr="00042F16">
        <w:rPr>
          <w:rFonts w:ascii="Verdana" w:hAnsi="Verdana"/>
          <w:sz w:val="20"/>
          <w:szCs w:val="20"/>
        </w:rPr>
        <w:t xml:space="preserve"> 2</w:t>
      </w:r>
      <w:r w:rsidR="00386551">
        <w:rPr>
          <w:rFonts w:ascii="Verdana" w:hAnsi="Verdana"/>
          <w:sz w:val="20"/>
          <w:szCs w:val="20"/>
        </w:rPr>
        <w:t>23,997</w:t>
      </w:r>
      <w:r>
        <w:rPr>
          <w:rFonts w:ascii="Verdana" w:hAnsi="Verdana"/>
          <w:sz w:val="20"/>
          <w:szCs w:val="20"/>
        </w:rPr>
        <w:t xml:space="preserve"> EUR (2018</w:t>
      </w:r>
      <w:r w:rsidR="0055752E" w:rsidRPr="00042F16">
        <w:rPr>
          <w:rFonts w:ascii="Verdana" w:hAnsi="Verdana"/>
          <w:sz w:val="20"/>
          <w:szCs w:val="20"/>
        </w:rPr>
        <w:t xml:space="preserve">: </w:t>
      </w:r>
      <w:r w:rsidR="00C72F32" w:rsidRPr="00042F16">
        <w:rPr>
          <w:rFonts w:ascii="Verdana" w:hAnsi="Verdana"/>
          <w:sz w:val="20"/>
          <w:szCs w:val="20"/>
        </w:rPr>
        <w:t>EUR</w:t>
      </w:r>
      <w:r w:rsidR="00386551">
        <w:rPr>
          <w:rFonts w:ascii="Verdana" w:hAnsi="Verdana"/>
          <w:sz w:val="20"/>
          <w:szCs w:val="20"/>
        </w:rPr>
        <w:t xml:space="preserve"> 216</w:t>
      </w:r>
      <w:r w:rsidR="00C72F32" w:rsidRPr="00042F16">
        <w:rPr>
          <w:rFonts w:ascii="Verdana" w:hAnsi="Verdana"/>
          <w:sz w:val="20"/>
          <w:szCs w:val="20"/>
        </w:rPr>
        <w:t>,</w:t>
      </w:r>
      <w:r w:rsidR="00386551">
        <w:rPr>
          <w:rFonts w:ascii="Verdana" w:hAnsi="Verdana"/>
          <w:sz w:val="20"/>
          <w:szCs w:val="20"/>
        </w:rPr>
        <w:t>937</w:t>
      </w:r>
      <w:r w:rsidR="0055752E" w:rsidRPr="00042F16">
        <w:rPr>
          <w:rFonts w:ascii="Verdana" w:hAnsi="Verdana"/>
          <w:sz w:val="20"/>
          <w:szCs w:val="20"/>
        </w:rPr>
        <w:t>).</w:t>
      </w:r>
    </w:p>
    <w:p w14:paraId="740A0D6E" w14:textId="77777777" w:rsidR="00650143" w:rsidRDefault="00650143" w:rsidP="00C92E51">
      <w:pPr>
        <w:spacing w:after="0" w:line="240" w:lineRule="auto"/>
        <w:rPr>
          <w:rFonts w:ascii="Verdana" w:hAnsi="Verdana"/>
          <w:sz w:val="20"/>
          <w:szCs w:val="20"/>
        </w:rPr>
      </w:pPr>
    </w:p>
    <w:p w14:paraId="7630B57F" w14:textId="77777777" w:rsidR="00404461" w:rsidRPr="00042F16" w:rsidRDefault="00404461" w:rsidP="00C92E51">
      <w:pPr>
        <w:spacing w:after="0" w:line="240" w:lineRule="auto"/>
        <w:rPr>
          <w:rFonts w:ascii="Verdana" w:hAnsi="Verdana"/>
          <w:sz w:val="20"/>
          <w:szCs w:val="20"/>
        </w:rPr>
      </w:pPr>
      <w:r w:rsidRPr="00042F16">
        <w:rPr>
          <w:rFonts w:ascii="Verdana" w:hAnsi="Verdana"/>
          <w:sz w:val="20"/>
          <w:szCs w:val="20"/>
        </w:rPr>
        <w:t>Regarding variable remuneration of the management body, the main performance criteria are:</w:t>
      </w:r>
    </w:p>
    <w:p w14:paraId="45AFC4D8" w14:textId="4D98A4E8" w:rsidR="00404461"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 xml:space="preserve">Development of the activities falling under the responsibility of the member of </w:t>
      </w:r>
      <w:r w:rsidR="00B70D79" w:rsidRPr="00042F16">
        <w:rPr>
          <w:rFonts w:ascii="Verdana" w:hAnsi="Verdana"/>
          <w:sz w:val="20"/>
          <w:szCs w:val="20"/>
        </w:rPr>
        <w:t xml:space="preserve">the </w:t>
      </w:r>
      <w:r w:rsidRPr="00042F16">
        <w:rPr>
          <w:rFonts w:ascii="Verdana" w:hAnsi="Verdana"/>
          <w:sz w:val="20"/>
          <w:szCs w:val="20"/>
        </w:rPr>
        <w:t>management;</w:t>
      </w:r>
    </w:p>
    <w:p w14:paraId="031F681E" w14:textId="77777777" w:rsidR="00404461"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Results of the activities compared to what was budgeted;</w:t>
      </w:r>
    </w:p>
    <w:p w14:paraId="66E9EB9C" w14:textId="593CBCE8" w:rsidR="00404461"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Status and achievement level of the projects falling under the responsibility of the member of</w:t>
      </w:r>
      <w:r w:rsidR="00B70D79" w:rsidRPr="00042F16">
        <w:rPr>
          <w:rFonts w:ascii="Verdana" w:hAnsi="Verdana"/>
          <w:sz w:val="20"/>
          <w:szCs w:val="20"/>
        </w:rPr>
        <w:t xml:space="preserve"> the</w:t>
      </w:r>
      <w:r w:rsidRPr="00042F16">
        <w:rPr>
          <w:rFonts w:ascii="Verdana" w:hAnsi="Verdana"/>
          <w:sz w:val="20"/>
          <w:szCs w:val="20"/>
        </w:rPr>
        <w:t xml:space="preserve"> management;</w:t>
      </w:r>
    </w:p>
    <w:p w14:paraId="3700C007" w14:textId="4A8C0DBD" w:rsidR="00404461"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Compliance</w:t>
      </w:r>
      <w:r w:rsidR="00B70D79" w:rsidRPr="00042F16">
        <w:rPr>
          <w:rFonts w:ascii="Verdana" w:hAnsi="Verdana"/>
          <w:sz w:val="20"/>
          <w:szCs w:val="20"/>
        </w:rPr>
        <w:t xml:space="preserve"> with new regulatory challenges and</w:t>
      </w:r>
      <w:r w:rsidRPr="00042F16">
        <w:rPr>
          <w:rFonts w:ascii="Verdana" w:hAnsi="Verdana"/>
          <w:sz w:val="20"/>
          <w:szCs w:val="20"/>
        </w:rPr>
        <w:t xml:space="preserve"> follow-up of internal and external audits recommendations;</w:t>
      </w:r>
    </w:p>
    <w:p w14:paraId="32D39CCB" w14:textId="77777777" w:rsidR="00404461"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Team management;</w:t>
      </w:r>
    </w:p>
    <w:p w14:paraId="7B32DFD3" w14:textId="77777777" w:rsidR="00404461"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Communication skills;</w:t>
      </w:r>
    </w:p>
    <w:p w14:paraId="69C197D0" w14:textId="77777777" w:rsidR="00404461"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Capacity of adaptation;</w:t>
      </w:r>
    </w:p>
    <w:p w14:paraId="7764E6FF" w14:textId="4D3EC6A8" w:rsidR="00EE6876" w:rsidRPr="00042F16" w:rsidRDefault="00404461" w:rsidP="00C92E51">
      <w:pPr>
        <w:pStyle w:val="ListParagraph"/>
        <w:numPr>
          <w:ilvl w:val="0"/>
          <w:numId w:val="34"/>
        </w:numPr>
        <w:spacing w:after="0" w:line="240" w:lineRule="auto"/>
        <w:ind w:left="709"/>
        <w:rPr>
          <w:rFonts w:ascii="Verdana" w:hAnsi="Verdana"/>
          <w:sz w:val="20"/>
          <w:szCs w:val="20"/>
        </w:rPr>
      </w:pPr>
      <w:r w:rsidRPr="00042F16">
        <w:rPr>
          <w:rFonts w:ascii="Verdana" w:hAnsi="Verdana"/>
          <w:sz w:val="20"/>
          <w:szCs w:val="20"/>
        </w:rPr>
        <w:t>Personnel development.</w:t>
      </w:r>
    </w:p>
    <w:sectPr w:rsidR="00EE6876" w:rsidRPr="00042F16" w:rsidSect="0019485F">
      <w:headerReference w:type="default" r:id="rId9"/>
      <w:footerReference w:type="default" r:id="rId10"/>
      <w:headerReference w:type="first" r:id="rId11"/>
      <w:pgSz w:w="12240" w:h="15840"/>
      <w:pgMar w:top="1440" w:right="1325" w:bottom="1440" w:left="1440" w:header="72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164E5" w14:textId="77777777" w:rsidR="0049496C" w:rsidRDefault="0049496C" w:rsidP="00EF0BDA">
      <w:r>
        <w:separator/>
      </w:r>
    </w:p>
  </w:endnote>
  <w:endnote w:type="continuationSeparator" w:id="0">
    <w:p w14:paraId="7BD2B27F" w14:textId="77777777" w:rsidR="0049496C" w:rsidRDefault="0049496C" w:rsidP="00EF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092958"/>
      <w:docPartObj>
        <w:docPartGallery w:val="Page Numbers (Bottom of Page)"/>
        <w:docPartUnique/>
      </w:docPartObj>
    </w:sdtPr>
    <w:sdtEndPr>
      <w:rPr>
        <w:noProof/>
      </w:rPr>
    </w:sdtEndPr>
    <w:sdtContent>
      <w:p w14:paraId="244FDD7B" w14:textId="5E4DCB04" w:rsidR="00EE3D3D" w:rsidRDefault="00EE3D3D" w:rsidP="0019485F">
        <w:pPr>
          <w:pStyle w:val="Footer"/>
          <w:ind w:left="8640"/>
        </w:pPr>
        <w:r>
          <w:t xml:space="preserve">    </w:t>
        </w:r>
        <w:r w:rsidRPr="0019485F">
          <w:rPr>
            <w:rFonts w:ascii="Verdana" w:hAnsi="Verdana"/>
            <w:sz w:val="20"/>
            <w:szCs w:val="20"/>
          </w:rPr>
          <w:fldChar w:fldCharType="begin"/>
        </w:r>
        <w:r w:rsidRPr="0019485F">
          <w:rPr>
            <w:rFonts w:ascii="Verdana" w:hAnsi="Verdana"/>
            <w:sz w:val="20"/>
            <w:szCs w:val="20"/>
          </w:rPr>
          <w:instrText xml:space="preserve"> PAGE   \* MERGEFORMAT </w:instrText>
        </w:r>
        <w:r w:rsidRPr="0019485F">
          <w:rPr>
            <w:rFonts w:ascii="Verdana" w:hAnsi="Verdana"/>
            <w:sz w:val="20"/>
            <w:szCs w:val="20"/>
          </w:rPr>
          <w:fldChar w:fldCharType="separate"/>
        </w:r>
        <w:r w:rsidR="00386551">
          <w:rPr>
            <w:rFonts w:ascii="Verdana" w:hAnsi="Verdana"/>
            <w:noProof/>
            <w:sz w:val="20"/>
            <w:szCs w:val="20"/>
          </w:rPr>
          <w:t>21</w:t>
        </w:r>
        <w:r w:rsidRPr="0019485F">
          <w:rPr>
            <w:rFonts w:ascii="Verdana" w:hAnsi="Verdana"/>
            <w:noProof/>
            <w:sz w:val="20"/>
            <w:szCs w:val="20"/>
          </w:rPr>
          <w:fldChar w:fldCharType="end"/>
        </w:r>
        <w:r w:rsidRPr="0019485F">
          <w:rPr>
            <w:rFonts w:ascii="Verdana" w:hAnsi="Verdana"/>
            <w:noProof/>
            <w:sz w:val="20"/>
            <w:szCs w:val="20"/>
          </w:rPr>
          <w:tab/>
        </w:r>
        <w:r>
          <w:rPr>
            <w:noProof/>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110FD" w14:textId="77777777" w:rsidR="0049496C" w:rsidRDefault="0049496C" w:rsidP="00EF0BDA">
      <w:r>
        <w:separator/>
      </w:r>
    </w:p>
  </w:footnote>
  <w:footnote w:type="continuationSeparator" w:id="0">
    <w:p w14:paraId="71AE8D5D" w14:textId="77777777" w:rsidR="0049496C" w:rsidRDefault="0049496C" w:rsidP="00EF0BDA">
      <w:r>
        <w:continuationSeparator/>
      </w:r>
    </w:p>
  </w:footnote>
  <w:footnote w:id="1">
    <w:p w14:paraId="2F88451D" w14:textId="2F89785D" w:rsidR="00EE3D3D" w:rsidRPr="005B0625" w:rsidRDefault="00EE3D3D" w:rsidP="00D42EF5">
      <w:pPr>
        <w:pStyle w:val="FootnoteText"/>
        <w:ind w:left="0"/>
        <w:rPr>
          <w:rFonts w:ascii="Verdana" w:hAnsi="Verdana" w:cstheme="minorHAnsi"/>
        </w:rPr>
      </w:pPr>
      <w:r w:rsidRPr="005B0625">
        <w:rPr>
          <w:rStyle w:val="FootnoteReference"/>
          <w:rFonts w:ascii="Verdana" w:hAnsi="Verdana" w:cstheme="minorHAnsi"/>
        </w:rPr>
        <w:footnoteRef/>
      </w:r>
      <w:r w:rsidRPr="005B0625">
        <w:rPr>
          <w:rFonts w:ascii="Verdana" w:hAnsi="Verdana" w:cstheme="minorHAnsi"/>
        </w:rPr>
        <w:t xml:space="preserve"> In particular EBA/GL/2017/01, EBA/GL/2016/11 and EBA/GL/2015/22, EBA GL/2017/01, EBA GL/2014/14, EBA GL/2014/03, CIR 1423/2013, CDR 2015/1555, respectively adopted by the CSSF in its Circulars 18/676, 17/673 and 17/658.</w:t>
      </w:r>
    </w:p>
  </w:footnote>
  <w:footnote w:id="2">
    <w:p w14:paraId="501F0160" w14:textId="5869CD68" w:rsidR="00EE3D3D" w:rsidRPr="005B0625" w:rsidRDefault="00EE3D3D" w:rsidP="007E7755">
      <w:pPr>
        <w:pStyle w:val="FootnoteText"/>
        <w:ind w:left="0"/>
        <w:rPr>
          <w:rFonts w:ascii="Verdana" w:hAnsi="Verdana" w:cstheme="minorHAnsi"/>
          <w:lang w:val="fr-CH"/>
        </w:rPr>
      </w:pPr>
      <w:r w:rsidRPr="005B0625">
        <w:rPr>
          <w:rStyle w:val="FootnoteReference"/>
          <w:rFonts w:ascii="Verdana" w:hAnsi="Verdana" w:cstheme="minorHAnsi"/>
        </w:rPr>
        <w:footnoteRef/>
      </w:r>
      <w:r w:rsidRPr="005B0625">
        <w:rPr>
          <w:rFonts w:ascii="Verdana" w:hAnsi="Verdana" w:cstheme="minorHAnsi"/>
        </w:rPr>
        <w:t xml:space="preserve"> </w:t>
      </w:r>
      <w:r w:rsidR="00C966F4">
        <w:rPr>
          <w:rFonts w:ascii="Verdana" w:hAnsi="Verdana" w:cstheme="minorHAnsi"/>
          <w:lang w:val="fr-CH"/>
        </w:rPr>
        <w:t>EUR 9</w:t>
      </w:r>
      <w:proofErr w:type="gramStart"/>
      <w:r w:rsidR="00C966F4">
        <w:rPr>
          <w:rFonts w:ascii="Verdana" w:hAnsi="Verdana" w:cstheme="minorHAnsi"/>
          <w:lang w:val="fr-CH"/>
        </w:rPr>
        <w:t>,0</w:t>
      </w:r>
      <w:r w:rsidRPr="005B0625">
        <w:rPr>
          <w:rFonts w:ascii="Verdana" w:hAnsi="Verdana" w:cstheme="minorHAnsi"/>
          <w:lang w:val="fr-CH"/>
        </w:rPr>
        <w:t>00,000</w:t>
      </w:r>
      <w:proofErr w:type="gramEnd"/>
      <w:r w:rsidRPr="005B0625">
        <w:rPr>
          <w:rFonts w:ascii="Verdana" w:hAnsi="Verdana" w:cstheme="minorHAnsi"/>
          <w:lang w:val="fr-CH"/>
        </w:rPr>
        <w:t xml:space="preserve"> for CAW 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B6220" w14:textId="2C156A7C" w:rsidR="00EE3D3D" w:rsidRDefault="00EE3D3D">
    <w:pPr>
      <w:pStyle w:val="Header"/>
    </w:pPr>
    <w:r>
      <w:rPr>
        <w:noProof/>
        <w:lang w:val="fr-FR" w:eastAsia="fr-FR"/>
      </w:rPr>
      <w:drawing>
        <wp:anchor distT="0" distB="0" distL="114300" distR="114300" simplePos="0" relativeHeight="251660288" behindDoc="1" locked="0" layoutInCell="1" allowOverlap="1" wp14:anchorId="4CA2DA42" wp14:editId="065073AC">
          <wp:simplePos x="0" y="0"/>
          <wp:positionH relativeFrom="column">
            <wp:posOffset>3895725</wp:posOffset>
          </wp:positionH>
          <wp:positionV relativeFrom="paragraph">
            <wp:posOffset>-114300</wp:posOffset>
          </wp:positionV>
          <wp:extent cx="2023496" cy="409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W_logo_RGB.jpg"/>
                  <pic:cNvPicPr/>
                </pic:nvPicPr>
                <pic:blipFill rotWithShape="1">
                  <a:blip r:embed="rId1" cstate="print">
                    <a:extLst>
                      <a:ext uri="{28A0092B-C50C-407E-A947-70E740481C1C}">
                        <a14:useLocalDpi xmlns:a14="http://schemas.microsoft.com/office/drawing/2010/main" val="0"/>
                      </a:ext>
                    </a:extLst>
                  </a:blip>
                  <a:srcRect l="17256" t="23388" r="17045" b="23514"/>
                  <a:stretch/>
                </pic:blipFill>
                <pic:spPr bwMode="auto">
                  <a:xfrm>
                    <a:off x="0" y="0"/>
                    <a:ext cx="2023496" cy="40957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D686" w14:textId="0AFBE3A5" w:rsidR="00EE3D3D" w:rsidRDefault="00EE3D3D" w:rsidP="00CC030B">
    <w:pPr>
      <w:pStyle w:val="Header"/>
      <w:tabs>
        <w:tab w:val="clear" w:pos="4680"/>
        <w:tab w:val="clear" w:pos="9360"/>
        <w:tab w:val="left" w:pos="8250"/>
      </w:tabs>
      <w:rPr>
        <w:noProof/>
        <w:lang w:val="fr-FR" w:eastAsia="fr-FR"/>
      </w:rPr>
    </w:pPr>
    <w:r>
      <w:rPr>
        <w:noProof/>
        <w:lang w:val="fr-FR" w:eastAsia="fr-FR"/>
      </w:rPr>
      <w:drawing>
        <wp:anchor distT="0" distB="0" distL="114300" distR="114300" simplePos="0" relativeHeight="251662336" behindDoc="1" locked="0" layoutInCell="1" allowOverlap="1" wp14:anchorId="34519AE3" wp14:editId="29D3A561">
          <wp:simplePos x="0" y="0"/>
          <wp:positionH relativeFrom="column">
            <wp:posOffset>3905250</wp:posOffset>
          </wp:positionH>
          <wp:positionV relativeFrom="paragraph">
            <wp:posOffset>-171450</wp:posOffset>
          </wp:positionV>
          <wp:extent cx="2023496" cy="409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W_logo_RGB.jpg"/>
                  <pic:cNvPicPr/>
                </pic:nvPicPr>
                <pic:blipFill rotWithShape="1">
                  <a:blip r:embed="rId1" cstate="print">
                    <a:extLst>
                      <a:ext uri="{28A0092B-C50C-407E-A947-70E740481C1C}">
                        <a14:useLocalDpi xmlns:a14="http://schemas.microsoft.com/office/drawing/2010/main" val="0"/>
                      </a:ext>
                    </a:extLst>
                  </a:blip>
                  <a:srcRect l="17256" t="23388" r="17045" b="23514"/>
                  <a:stretch/>
                </pic:blipFill>
                <pic:spPr bwMode="auto">
                  <a:xfrm>
                    <a:off x="0" y="0"/>
                    <a:ext cx="2023496" cy="409575"/>
                  </a:xfrm>
                  <a:prstGeom prst="rect">
                    <a:avLst/>
                  </a:prstGeom>
                  <a:ln>
                    <a:noFill/>
                  </a:ln>
                  <a:extLst>
                    <a:ext uri="{53640926-AAD7-44D8-BBD7-CCE9431645EC}">
                      <a14:shadowObscured xmlns:a14="http://schemas.microsoft.com/office/drawing/2010/main"/>
                    </a:ext>
                  </a:extLst>
                </pic:spPr>
              </pic:pic>
            </a:graphicData>
          </a:graphic>
        </wp:anchor>
      </w:drawing>
    </w:r>
    <w:r>
      <w:rPr>
        <w:noProof/>
        <w:lang w:val="fr-FR" w:eastAsia="fr-FR"/>
      </w:rPr>
      <w:tab/>
    </w:r>
  </w:p>
  <w:p w14:paraId="02660FC4" w14:textId="7F0B7C93" w:rsidR="00EE3D3D" w:rsidRDefault="00EE3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7B85"/>
    <w:multiLevelType w:val="multilevel"/>
    <w:tmpl w:val="D24C48CC"/>
    <w:lvl w:ilvl="0">
      <w:start w:val="1"/>
      <w:numFmt w:val="decimal"/>
      <w:lvlText w:val="%1."/>
      <w:lvlJc w:val="left"/>
      <w:pPr>
        <w:ind w:left="92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nsid w:val="07B2720E"/>
    <w:multiLevelType w:val="hybridMultilevel"/>
    <w:tmpl w:val="AADE90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C2D54FB"/>
    <w:multiLevelType w:val="hybridMultilevel"/>
    <w:tmpl w:val="E2D485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E550EDB"/>
    <w:multiLevelType w:val="hybridMultilevel"/>
    <w:tmpl w:val="49C2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CC66FE"/>
    <w:multiLevelType w:val="hybridMultilevel"/>
    <w:tmpl w:val="BD0299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68B03CA"/>
    <w:multiLevelType w:val="hybridMultilevel"/>
    <w:tmpl w:val="50565A9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AAE6E64C">
      <w:numFmt w:val="bullet"/>
      <w:lvlText w:val="-"/>
      <w:lvlJc w:val="left"/>
      <w:pPr>
        <w:ind w:left="2160" w:hanging="360"/>
      </w:pPr>
      <w:rPr>
        <w:rFonts w:ascii="Arial" w:eastAsiaTheme="minorEastAsia" w:hAnsi="Arial" w:cs="Arial"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8BD2F1A"/>
    <w:multiLevelType w:val="hybridMultilevel"/>
    <w:tmpl w:val="4BA671D4"/>
    <w:lvl w:ilvl="0" w:tplc="0409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nsid w:val="18BF1CF1"/>
    <w:multiLevelType w:val="hybridMultilevel"/>
    <w:tmpl w:val="FFBA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3E2A86"/>
    <w:multiLevelType w:val="hybridMultilevel"/>
    <w:tmpl w:val="FDE01F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29154B46"/>
    <w:multiLevelType w:val="hybridMultilevel"/>
    <w:tmpl w:val="E7FE90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2A0D01E6"/>
    <w:multiLevelType w:val="multilevel"/>
    <w:tmpl w:val="91E0C136"/>
    <w:lvl w:ilvl="0">
      <w:start w:val="1"/>
      <w:numFmt w:val="decimal"/>
      <w:pStyle w:val="Heading1"/>
      <w:lvlText w:val="%1."/>
      <w:lvlJc w:val="left"/>
      <w:pPr>
        <w:ind w:left="927" w:hanging="360"/>
      </w:pPr>
      <w:rPr>
        <w:rFonts w:hint="default"/>
        <w:color w:val="6CACE4"/>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nsid w:val="2A91328A"/>
    <w:multiLevelType w:val="hybridMultilevel"/>
    <w:tmpl w:val="1A92C8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2A9968E1"/>
    <w:multiLevelType w:val="hybridMultilevel"/>
    <w:tmpl w:val="A432A7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2E9556A5"/>
    <w:multiLevelType w:val="hybridMultilevel"/>
    <w:tmpl w:val="9BDCF4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38ED2A4A"/>
    <w:multiLevelType w:val="hybridMultilevel"/>
    <w:tmpl w:val="1FA07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E4008B"/>
    <w:multiLevelType w:val="hybridMultilevel"/>
    <w:tmpl w:val="E370FE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35A34"/>
    <w:multiLevelType w:val="hybridMultilevel"/>
    <w:tmpl w:val="96BAE0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43D200B8"/>
    <w:multiLevelType w:val="hybridMultilevel"/>
    <w:tmpl w:val="868C1C3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452F5177"/>
    <w:multiLevelType w:val="hybridMultilevel"/>
    <w:tmpl w:val="231655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47107D82"/>
    <w:multiLevelType w:val="hybridMultilevel"/>
    <w:tmpl w:val="5BB23C08"/>
    <w:lvl w:ilvl="0" w:tplc="100C0001">
      <w:start w:val="1"/>
      <w:numFmt w:val="bullet"/>
      <w:lvlText w:val=""/>
      <w:lvlJc w:val="left"/>
      <w:pPr>
        <w:ind w:left="784" w:hanging="360"/>
      </w:pPr>
      <w:rPr>
        <w:rFonts w:ascii="Symbol" w:hAnsi="Symbol" w:hint="default"/>
      </w:rPr>
    </w:lvl>
    <w:lvl w:ilvl="1" w:tplc="100C0003" w:tentative="1">
      <w:start w:val="1"/>
      <w:numFmt w:val="bullet"/>
      <w:lvlText w:val="o"/>
      <w:lvlJc w:val="left"/>
      <w:pPr>
        <w:ind w:left="1504" w:hanging="360"/>
      </w:pPr>
      <w:rPr>
        <w:rFonts w:ascii="Courier New" w:hAnsi="Courier New" w:cs="Courier New" w:hint="default"/>
      </w:rPr>
    </w:lvl>
    <w:lvl w:ilvl="2" w:tplc="100C0005" w:tentative="1">
      <w:start w:val="1"/>
      <w:numFmt w:val="bullet"/>
      <w:lvlText w:val=""/>
      <w:lvlJc w:val="left"/>
      <w:pPr>
        <w:ind w:left="2224" w:hanging="360"/>
      </w:pPr>
      <w:rPr>
        <w:rFonts w:ascii="Wingdings" w:hAnsi="Wingdings" w:hint="default"/>
      </w:rPr>
    </w:lvl>
    <w:lvl w:ilvl="3" w:tplc="100C0001" w:tentative="1">
      <w:start w:val="1"/>
      <w:numFmt w:val="bullet"/>
      <w:lvlText w:val=""/>
      <w:lvlJc w:val="left"/>
      <w:pPr>
        <w:ind w:left="2944" w:hanging="360"/>
      </w:pPr>
      <w:rPr>
        <w:rFonts w:ascii="Symbol" w:hAnsi="Symbol" w:hint="default"/>
      </w:rPr>
    </w:lvl>
    <w:lvl w:ilvl="4" w:tplc="100C0003" w:tentative="1">
      <w:start w:val="1"/>
      <w:numFmt w:val="bullet"/>
      <w:lvlText w:val="o"/>
      <w:lvlJc w:val="left"/>
      <w:pPr>
        <w:ind w:left="3664" w:hanging="360"/>
      </w:pPr>
      <w:rPr>
        <w:rFonts w:ascii="Courier New" w:hAnsi="Courier New" w:cs="Courier New" w:hint="default"/>
      </w:rPr>
    </w:lvl>
    <w:lvl w:ilvl="5" w:tplc="100C0005" w:tentative="1">
      <w:start w:val="1"/>
      <w:numFmt w:val="bullet"/>
      <w:lvlText w:val=""/>
      <w:lvlJc w:val="left"/>
      <w:pPr>
        <w:ind w:left="4384" w:hanging="360"/>
      </w:pPr>
      <w:rPr>
        <w:rFonts w:ascii="Wingdings" w:hAnsi="Wingdings" w:hint="default"/>
      </w:rPr>
    </w:lvl>
    <w:lvl w:ilvl="6" w:tplc="100C0001" w:tentative="1">
      <w:start w:val="1"/>
      <w:numFmt w:val="bullet"/>
      <w:lvlText w:val=""/>
      <w:lvlJc w:val="left"/>
      <w:pPr>
        <w:ind w:left="5104" w:hanging="360"/>
      </w:pPr>
      <w:rPr>
        <w:rFonts w:ascii="Symbol" w:hAnsi="Symbol" w:hint="default"/>
      </w:rPr>
    </w:lvl>
    <w:lvl w:ilvl="7" w:tplc="100C0003" w:tentative="1">
      <w:start w:val="1"/>
      <w:numFmt w:val="bullet"/>
      <w:lvlText w:val="o"/>
      <w:lvlJc w:val="left"/>
      <w:pPr>
        <w:ind w:left="5824" w:hanging="360"/>
      </w:pPr>
      <w:rPr>
        <w:rFonts w:ascii="Courier New" w:hAnsi="Courier New" w:cs="Courier New" w:hint="default"/>
      </w:rPr>
    </w:lvl>
    <w:lvl w:ilvl="8" w:tplc="100C0005" w:tentative="1">
      <w:start w:val="1"/>
      <w:numFmt w:val="bullet"/>
      <w:lvlText w:val=""/>
      <w:lvlJc w:val="left"/>
      <w:pPr>
        <w:ind w:left="6544" w:hanging="360"/>
      </w:pPr>
      <w:rPr>
        <w:rFonts w:ascii="Wingdings" w:hAnsi="Wingdings" w:hint="default"/>
      </w:rPr>
    </w:lvl>
  </w:abstractNum>
  <w:abstractNum w:abstractNumId="20">
    <w:nsid w:val="4821706F"/>
    <w:multiLevelType w:val="hybridMultilevel"/>
    <w:tmpl w:val="3FCA81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482746F7"/>
    <w:multiLevelType w:val="hybridMultilevel"/>
    <w:tmpl w:val="89ACEB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48F93CDF"/>
    <w:multiLevelType w:val="hybridMultilevel"/>
    <w:tmpl w:val="ED56A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F00752C"/>
    <w:multiLevelType w:val="hybridMultilevel"/>
    <w:tmpl w:val="DB1423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4F621A7B"/>
    <w:multiLevelType w:val="hybridMultilevel"/>
    <w:tmpl w:val="31D41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4C1191"/>
    <w:multiLevelType w:val="hybridMultilevel"/>
    <w:tmpl w:val="E26E204C"/>
    <w:lvl w:ilvl="0" w:tplc="1666C62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117983"/>
    <w:multiLevelType w:val="hybridMultilevel"/>
    <w:tmpl w:val="F5ECE6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597A6602"/>
    <w:multiLevelType w:val="hybridMultilevel"/>
    <w:tmpl w:val="72CEA6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5C4F0DFC"/>
    <w:multiLevelType w:val="hybridMultilevel"/>
    <w:tmpl w:val="69F8E14A"/>
    <w:lvl w:ilvl="0" w:tplc="100C0001">
      <w:start w:val="1"/>
      <w:numFmt w:val="bullet"/>
      <w:lvlText w:val=""/>
      <w:lvlJc w:val="left"/>
      <w:pPr>
        <w:ind w:left="784" w:hanging="360"/>
      </w:pPr>
      <w:rPr>
        <w:rFonts w:ascii="Symbol" w:hAnsi="Symbol" w:hint="default"/>
      </w:rPr>
    </w:lvl>
    <w:lvl w:ilvl="1" w:tplc="100C0003" w:tentative="1">
      <w:start w:val="1"/>
      <w:numFmt w:val="bullet"/>
      <w:lvlText w:val="o"/>
      <w:lvlJc w:val="left"/>
      <w:pPr>
        <w:ind w:left="1504" w:hanging="360"/>
      </w:pPr>
      <w:rPr>
        <w:rFonts w:ascii="Courier New" w:hAnsi="Courier New" w:cs="Courier New" w:hint="default"/>
      </w:rPr>
    </w:lvl>
    <w:lvl w:ilvl="2" w:tplc="100C0005" w:tentative="1">
      <w:start w:val="1"/>
      <w:numFmt w:val="bullet"/>
      <w:lvlText w:val=""/>
      <w:lvlJc w:val="left"/>
      <w:pPr>
        <w:ind w:left="2224" w:hanging="360"/>
      </w:pPr>
      <w:rPr>
        <w:rFonts w:ascii="Wingdings" w:hAnsi="Wingdings" w:hint="default"/>
      </w:rPr>
    </w:lvl>
    <w:lvl w:ilvl="3" w:tplc="100C0001" w:tentative="1">
      <w:start w:val="1"/>
      <w:numFmt w:val="bullet"/>
      <w:lvlText w:val=""/>
      <w:lvlJc w:val="left"/>
      <w:pPr>
        <w:ind w:left="2944" w:hanging="360"/>
      </w:pPr>
      <w:rPr>
        <w:rFonts w:ascii="Symbol" w:hAnsi="Symbol" w:hint="default"/>
      </w:rPr>
    </w:lvl>
    <w:lvl w:ilvl="4" w:tplc="100C0003" w:tentative="1">
      <w:start w:val="1"/>
      <w:numFmt w:val="bullet"/>
      <w:lvlText w:val="o"/>
      <w:lvlJc w:val="left"/>
      <w:pPr>
        <w:ind w:left="3664" w:hanging="360"/>
      </w:pPr>
      <w:rPr>
        <w:rFonts w:ascii="Courier New" w:hAnsi="Courier New" w:cs="Courier New" w:hint="default"/>
      </w:rPr>
    </w:lvl>
    <w:lvl w:ilvl="5" w:tplc="100C0005" w:tentative="1">
      <w:start w:val="1"/>
      <w:numFmt w:val="bullet"/>
      <w:lvlText w:val=""/>
      <w:lvlJc w:val="left"/>
      <w:pPr>
        <w:ind w:left="4384" w:hanging="360"/>
      </w:pPr>
      <w:rPr>
        <w:rFonts w:ascii="Wingdings" w:hAnsi="Wingdings" w:hint="default"/>
      </w:rPr>
    </w:lvl>
    <w:lvl w:ilvl="6" w:tplc="100C0001" w:tentative="1">
      <w:start w:val="1"/>
      <w:numFmt w:val="bullet"/>
      <w:lvlText w:val=""/>
      <w:lvlJc w:val="left"/>
      <w:pPr>
        <w:ind w:left="5104" w:hanging="360"/>
      </w:pPr>
      <w:rPr>
        <w:rFonts w:ascii="Symbol" w:hAnsi="Symbol" w:hint="default"/>
      </w:rPr>
    </w:lvl>
    <w:lvl w:ilvl="7" w:tplc="100C0003" w:tentative="1">
      <w:start w:val="1"/>
      <w:numFmt w:val="bullet"/>
      <w:lvlText w:val="o"/>
      <w:lvlJc w:val="left"/>
      <w:pPr>
        <w:ind w:left="5824" w:hanging="360"/>
      </w:pPr>
      <w:rPr>
        <w:rFonts w:ascii="Courier New" w:hAnsi="Courier New" w:cs="Courier New" w:hint="default"/>
      </w:rPr>
    </w:lvl>
    <w:lvl w:ilvl="8" w:tplc="100C0005" w:tentative="1">
      <w:start w:val="1"/>
      <w:numFmt w:val="bullet"/>
      <w:lvlText w:val=""/>
      <w:lvlJc w:val="left"/>
      <w:pPr>
        <w:ind w:left="6544" w:hanging="360"/>
      </w:pPr>
      <w:rPr>
        <w:rFonts w:ascii="Wingdings" w:hAnsi="Wingdings" w:hint="default"/>
      </w:rPr>
    </w:lvl>
  </w:abstractNum>
  <w:abstractNum w:abstractNumId="29">
    <w:nsid w:val="5E994D5F"/>
    <w:multiLevelType w:val="hybridMultilevel"/>
    <w:tmpl w:val="151ADA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nsid w:val="5EAC46CF"/>
    <w:multiLevelType w:val="hybridMultilevel"/>
    <w:tmpl w:val="8690BF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nsid w:val="62701F45"/>
    <w:multiLevelType w:val="hybridMultilevel"/>
    <w:tmpl w:val="B5C24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17124E"/>
    <w:multiLevelType w:val="hybridMultilevel"/>
    <w:tmpl w:val="C5C8451C"/>
    <w:lvl w:ilvl="0" w:tplc="0409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3">
    <w:nsid w:val="695E13C2"/>
    <w:multiLevelType w:val="multilevel"/>
    <w:tmpl w:val="CAEAEF86"/>
    <w:lvl w:ilvl="0">
      <w:start w:val="1"/>
      <w:numFmt w:val="decimal"/>
      <w:lvlText w:val="%1."/>
      <w:lvlJc w:val="left"/>
      <w:pPr>
        <w:ind w:left="92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4">
    <w:nsid w:val="6A712DDF"/>
    <w:multiLevelType w:val="hybridMultilevel"/>
    <w:tmpl w:val="E5220F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nsid w:val="6CD62D64"/>
    <w:multiLevelType w:val="hybridMultilevel"/>
    <w:tmpl w:val="2DDE1AB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nsid w:val="7265579A"/>
    <w:multiLevelType w:val="hybridMultilevel"/>
    <w:tmpl w:val="3A820F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nsid w:val="77E26A21"/>
    <w:multiLevelType w:val="hybridMultilevel"/>
    <w:tmpl w:val="B96046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7F8144C3"/>
    <w:multiLevelType w:val="hybridMultilevel"/>
    <w:tmpl w:val="67E8CB64"/>
    <w:lvl w:ilvl="0" w:tplc="0409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6"/>
  </w:num>
  <w:num w:numId="4">
    <w:abstractNumId w:val="20"/>
  </w:num>
  <w:num w:numId="5">
    <w:abstractNumId w:val="35"/>
  </w:num>
  <w:num w:numId="6">
    <w:abstractNumId w:val="18"/>
  </w:num>
  <w:num w:numId="7">
    <w:abstractNumId w:val="37"/>
  </w:num>
  <w:num w:numId="8">
    <w:abstractNumId w:val="33"/>
  </w:num>
  <w:num w:numId="9">
    <w:abstractNumId w:val="23"/>
  </w:num>
  <w:num w:numId="10">
    <w:abstractNumId w:val="8"/>
  </w:num>
  <w:num w:numId="11">
    <w:abstractNumId w:val="12"/>
  </w:num>
  <w:num w:numId="12">
    <w:abstractNumId w:val="27"/>
  </w:num>
  <w:num w:numId="13">
    <w:abstractNumId w:val="6"/>
  </w:num>
  <w:num w:numId="14">
    <w:abstractNumId w:val="32"/>
  </w:num>
  <w:num w:numId="15">
    <w:abstractNumId w:val="36"/>
  </w:num>
  <w:num w:numId="16">
    <w:abstractNumId w:val="5"/>
  </w:num>
  <w:num w:numId="17">
    <w:abstractNumId w:val="1"/>
  </w:num>
  <w:num w:numId="18">
    <w:abstractNumId w:val="4"/>
  </w:num>
  <w:num w:numId="19">
    <w:abstractNumId w:val="13"/>
  </w:num>
  <w:num w:numId="20">
    <w:abstractNumId w:val="21"/>
  </w:num>
  <w:num w:numId="21">
    <w:abstractNumId w:val="30"/>
  </w:num>
  <w:num w:numId="22">
    <w:abstractNumId w:val="28"/>
  </w:num>
  <w:num w:numId="23">
    <w:abstractNumId w:val="0"/>
  </w:num>
  <w:num w:numId="24">
    <w:abstractNumId w:val="11"/>
  </w:num>
  <w:num w:numId="25">
    <w:abstractNumId w:val="3"/>
  </w:num>
  <w:num w:numId="26">
    <w:abstractNumId w:val="14"/>
  </w:num>
  <w:num w:numId="27">
    <w:abstractNumId w:val="24"/>
  </w:num>
  <w:num w:numId="28">
    <w:abstractNumId w:val="22"/>
  </w:num>
  <w:num w:numId="29">
    <w:abstractNumId w:val="7"/>
  </w:num>
  <w:num w:numId="30">
    <w:abstractNumId w:val="34"/>
  </w:num>
  <w:num w:numId="31">
    <w:abstractNumId w:val="29"/>
  </w:num>
  <w:num w:numId="32">
    <w:abstractNumId w:val="19"/>
  </w:num>
  <w:num w:numId="33">
    <w:abstractNumId w:val="26"/>
  </w:num>
  <w:num w:numId="34">
    <w:abstractNumId w:val="38"/>
  </w:num>
  <w:num w:numId="35">
    <w:abstractNumId w:val="25"/>
  </w:num>
  <w:num w:numId="36">
    <w:abstractNumId w:val="31"/>
  </w:num>
  <w:num w:numId="37">
    <w:abstractNumId w:val="2"/>
  </w:num>
  <w:num w:numId="38">
    <w:abstractNumId w:val="17"/>
  </w:num>
  <w:num w:numId="3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1C"/>
    <w:rsid w:val="000004E1"/>
    <w:rsid w:val="000035A7"/>
    <w:rsid w:val="00021E1D"/>
    <w:rsid w:val="00027A30"/>
    <w:rsid w:val="00037CB0"/>
    <w:rsid w:val="00042F16"/>
    <w:rsid w:val="00056D98"/>
    <w:rsid w:val="00065FBF"/>
    <w:rsid w:val="000661AB"/>
    <w:rsid w:val="00082E4F"/>
    <w:rsid w:val="00083346"/>
    <w:rsid w:val="00086D17"/>
    <w:rsid w:val="00087231"/>
    <w:rsid w:val="000911F3"/>
    <w:rsid w:val="000917C2"/>
    <w:rsid w:val="000A48C2"/>
    <w:rsid w:val="000A49CC"/>
    <w:rsid w:val="000A797B"/>
    <w:rsid w:val="000B56A4"/>
    <w:rsid w:val="000C0369"/>
    <w:rsid w:val="000C6BA5"/>
    <w:rsid w:val="000D21F0"/>
    <w:rsid w:val="000E3ABF"/>
    <w:rsid w:val="000E4C05"/>
    <w:rsid w:val="000F2D4C"/>
    <w:rsid w:val="000F67CC"/>
    <w:rsid w:val="00103035"/>
    <w:rsid w:val="00104595"/>
    <w:rsid w:val="00117D22"/>
    <w:rsid w:val="00120FC4"/>
    <w:rsid w:val="00122006"/>
    <w:rsid w:val="00122BF1"/>
    <w:rsid w:val="00123DDD"/>
    <w:rsid w:val="00132929"/>
    <w:rsid w:val="001415D1"/>
    <w:rsid w:val="001421BB"/>
    <w:rsid w:val="001455E5"/>
    <w:rsid w:val="00147A64"/>
    <w:rsid w:val="00151860"/>
    <w:rsid w:val="00152943"/>
    <w:rsid w:val="00161DB6"/>
    <w:rsid w:val="0016637B"/>
    <w:rsid w:val="00170EAD"/>
    <w:rsid w:val="0017313E"/>
    <w:rsid w:val="00176212"/>
    <w:rsid w:val="00176CE9"/>
    <w:rsid w:val="0018061A"/>
    <w:rsid w:val="001833D5"/>
    <w:rsid w:val="00184A51"/>
    <w:rsid w:val="00192C0E"/>
    <w:rsid w:val="0019485F"/>
    <w:rsid w:val="001A7EC7"/>
    <w:rsid w:val="001B11B1"/>
    <w:rsid w:val="001C403F"/>
    <w:rsid w:val="001D01FA"/>
    <w:rsid w:val="001D3D26"/>
    <w:rsid w:val="001D4134"/>
    <w:rsid w:val="001D7D63"/>
    <w:rsid w:val="001E1642"/>
    <w:rsid w:val="001E5B81"/>
    <w:rsid w:val="001F552E"/>
    <w:rsid w:val="001F6557"/>
    <w:rsid w:val="00204107"/>
    <w:rsid w:val="00220AC0"/>
    <w:rsid w:val="00222CAA"/>
    <w:rsid w:val="002241F8"/>
    <w:rsid w:val="00224FCA"/>
    <w:rsid w:val="0022509A"/>
    <w:rsid w:val="00232A6D"/>
    <w:rsid w:val="00250B17"/>
    <w:rsid w:val="002563FE"/>
    <w:rsid w:val="002621AE"/>
    <w:rsid w:val="00262CB1"/>
    <w:rsid w:val="00263F4B"/>
    <w:rsid w:val="00276277"/>
    <w:rsid w:val="002764CD"/>
    <w:rsid w:val="0028130A"/>
    <w:rsid w:val="00284259"/>
    <w:rsid w:val="002861E1"/>
    <w:rsid w:val="00294909"/>
    <w:rsid w:val="00294C9F"/>
    <w:rsid w:val="0029542A"/>
    <w:rsid w:val="002B13A5"/>
    <w:rsid w:val="002B3E1B"/>
    <w:rsid w:val="002B49E2"/>
    <w:rsid w:val="002C5DFE"/>
    <w:rsid w:val="002D1951"/>
    <w:rsid w:val="002D7A2F"/>
    <w:rsid w:val="002E1B27"/>
    <w:rsid w:val="002E38F4"/>
    <w:rsid w:val="002E423F"/>
    <w:rsid w:val="002F1CD7"/>
    <w:rsid w:val="002F2ED1"/>
    <w:rsid w:val="002F6439"/>
    <w:rsid w:val="00303E7C"/>
    <w:rsid w:val="0031182F"/>
    <w:rsid w:val="00313842"/>
    <w:rsid w:val="003208D7"/>
    <w:rsid w:val="00324616"/>
    <w:rsid w:val="003306C5"/>
    <w:rsid w:val="00332E2A"/>
    <w:rsid w:val="00333E8D"/>
    <w:rsid w:val="0033756B"/>
    <w:rsid w:val="00342623"/>
    <w:rsid w:val="0035364D"/>
    <w:rsid w:val="0035649D"/>
    <w:rsid w:val="00361A3C"/>
    <w:rsid w:val="0036675E"/>
    <w:rsid w:val="003679C4"/>
    <w:rsid w:val="003843AF"/>
    <w:rsid w:val="00384A4B"/>
    <w:rsid w:val="003858DC"/>
    <w:rsid w:val="00386551"/>
    <w:rsid w:val="00390B3E"/>
    <w:rsid w:val="00390CCA"/>
    <w:rsid w:val="00391A7E"/>
    <w:rsid w:val="00393FB2"/>
    <w:rsid w:val="003A0476"/>
    <w:rsid w:val="003B601C"/>
    <w:rsid w:val="003B7384"/>
    <w:rsid w:val="003C5320"/>
    <w:rsid w:val="003C5C14"/>
    <w:rsid w:val="003C6EED"/>
    <w:rsid w:val="003C743B"/>
    <w:rsid w:val="003D424B"/>
    <w:rsid w:val="004008DE"/>
    <w:rsid w:val="00404461"/>
    <w:rsid w:val="00405DE2"/>
    <w:rsid w:val="00420266"/>
    <w:rsid w:val="004240BF"/>
    <w:rsid w:val="0043526C"/>
    <w:rsid w:val="00447C58"/>
    <w:rsid w:val="00452716"/>
    <w:rsid w:val="0045405F"/>
    <w:rsid w:val="004603DB"/>
    <w:rsid w:val="004637BE"/>
    <w:rsid w:val="00463B47"/>
    <w:rsid w:val="00464D97"/>
    <w:rsid w:val="00466295"/>
    <w:rsid w:val="0046698C"/>
    <w:rsid w:val="004750E9"/>
    <w:rsid w:val="00475B78"/>
    <w:rsid w:val="004830C8"/>
    <w:rsid w:val="00487247"/>
    <w:rsid w:val="00490D8E"/>
    <w:rsid w:val="004910B7"/>
    <w:rsid w:val="0049496C"/>
    <w:rsid w:val="004A6D4D"/>
    <w:rsid w:val="004B238E"/>
    <w:rsid w:val="004E5F32"/>
    <w:rsid w:val="004F1785"/>
    <w:rsid w:val="005023AF"/>
    <w:rsid w:val="00502D47"/>
    <w:rsid w:val="00516C27"/>
    <w:rsid w:val="00532CEE"/>
    <w:rsid w:val="005512B7"/>
    <w:rsid w:val="00551BD6"/>
    <w:rsid w:val="005524D8"/>
    <w:rsid w:val="0055752E"/>
    <w:rsid w:val="00560AA6"/>
    <w:rsid w:val="00561769"/>
    <w:rsid w:val="00563B2C"/>
    <w:rsid w:val="00565B74"/>
    <w:rsid w:val="005738D3"/>
    <w:rsid w:val="00577BB6"/>
    <w:rsid w:val="0058252E"/>
    <w:rsid w:val="00595230"/>
    <w:rsid w:val="005B0625"/>
    <w:rsid w:val="005B1C2A"/>
    <w:rsid w:val="005B7A3F"/>
    <w:rsid w:val="005C03C4"/>
    <w:rsid w:val="005C1A42"/>
    <w:rsid w:val="005C7AB1"/>
    <w:rsid w:val="005E429B"/>
    <w:rsid w:val="005E513B"/>
    <w:rsid w:val="005E668B"/>
    <w:rsid w:val="005F0BAD"/>
    <w:rsid w:val="006019F0"/>
    <w:rsid w:val="0060275C"/>
    <w:rsid w:val="00603DCC"/>
    <w:rsid w:val="00606F3C"/>
    <w:rsid w:val="006265E1"/>
    <w:rsid w:val="006277AA"/>
    <w:rsid w:val="00630531"/>
    <w:rsid w:val="00631066"/>
    <w:rsid w:val="00633150"/>
    <w:rsid w:val="00650143"/>
    <w:rsid w:val="00650856"/>
    <w:rsid w:val="00660225"/>
    <w:rsid w:val="00665724"/>
    <w:rsid w:val="00667932"/>
    <w:rsid w:val="00670123"/>
    <w:rsid w:val="00670853"/>
    <w:rsid w:val="00674595"/>
    <w:rsid w:val="00676A98"/>
    <w:rsid w:val="00694E09"/>
    <w:rsid w:val="006A56F4"/>
    <w:rsid w:val="006C461B"/>
    <w:rsid w:val="006D5E64"/>
    <w:rsid w:val="006D6F82"/>
    <w:rsid w:val="006E0D60"/>
    <w:rsid w:val="006E62E9"/>
    <w:rsid w:val="006E674D"/>
    <w:rsid w:val="006F296A"/>
    <w:rsid w:val="006F2EC3"/>
    <w:rsid w:val="006F6BC6"/>
    <w:rsid w:val="00710824"/>
    <w:rsid w:val="00711797"/>
    <w:rsid w:val="007133BD"/>
    <w:rsid w:val="00745A42"/>
    <w:rsid w:val="00750EAC"/>
    <w:rsid w:val="00752918"/>
    <w:rsid w:val="00753CB9"/>
    <w:rsid w:val="00757E88"/>
    <w:rsid w:val="00761C10"/>
    <w:rsid w:val="00776F4F"/>
    <w:rsid w:val="007834C4"/>
    <w:rsid w:val="0078708F"/>
    <w:rsid w:val="00790224"/>
    <w:rsid w:val="0079780D"/>
    <w:rsid w:val="007A5916"/>
    <w:rsid w:val="007A5D6F"/>
    <w:rsid w:val="007A6531"/>
    <w:rsid w:val="007A7688"/>
    <w:rsid w:val="007B4136"/>
    <w:rsid w:val="007C3654"/>
    <w:rsid w:val="007C4354"/>
    <w:rsid w:val="007C6557"/>
    <w:rsid w:val="007D52D2"/>
    <w:rsid w:val="007D589D"/>
    <w:rsid w:val="007E25CF"/>
    <w:rsid w:val="007E7755"/>
    <w:rsid w:val="007E7EDA"/>
    <w:rsid w:val="00810845"/>
    <w:rsid w:val="00815BE4"/>
    <w:rsid w:val="00821081"/>
    <w:rsid w:val="0082191C"/>
    <w:rsid w:val="0082225B"/>
    <w:rsid w:val="008249FD"/>
    <w:rsid w:val="0082613B"/>
    <w:rsid w:val="008310C6"/>
    <w:rsid w:val="008368DC"/>
    <w:rsid w:val="00841980"/>
    <w:rsid w:val="00847771"/>
    <w:rsid w:val="00847DEA"/>
    <w:rsid w:val="00851FCD"/>
    <w:rsid w:val="008521D5"/>
    <w:rsid w:val="00866002"/>
    <w:rsid w:val="0086699A"/>
    <w:rsid w:val="008669E5"/>
    <w:rsid w:val="00874BED"/>
    <w:rsid w:val="00876296"/>
    <w:rsid w:val="00883CEA"/>
    <w:rsid w:val="008A5EBB"/>
    <w:rsid w:val="008B0464"/>
    <w:rsid w:val="008C2DB0"/>
    <w:rsid w:val="008D0876"/>
    <w:rsid w:val="008D1215"/>
    <w:rsid w:val="008D4385"/>
    <w:rsid w:val="008D6663"/>
    <w:rsid w:val="008D736E"/>
    <w:rsid w:val="008F0118"/>
    <w:rsid w:val="008F66F9"/>
    <w:rsid w:val="008F6AE7"/>
    <w:rsid w:val="00905BC8"/>
    <w:rsid w:val="00910813"/>
    <w:rsid w:val="009143B2"/>
    <w:rsid w:val="0092021D"/>
    <w:rsid w:val="009214D3"/>
    <w:rsid w:val="009257BC"/>
    <w:rsid w:val="00934729"/>
    <w:rsid w:val="00940231"/>
    <w:rsid w:val="009552B1"/>
    <w:rsid w:val="00957371"/>
    <w:rsid w:val="00965C23"/>
    <w:rsid w:val="00971244"/>
    <w:rsid w:val="00971806"/>
    <w:rsid w:val="009863EE"/>
    <w:rsid w:val="00996BCE"/>
    <w:rsid w:val="009A36A1"/>
    <w:rsid w:val="009A38BE"/>
    <w:rsid w:val="009A4306"/>
    <w:rsid w:val="009B2AB7"/>
    <w:rsid w:val="009B31E7"/>
    <w:rsid w:val="009B39FA"/>
    <w:rsid w:val="009B4673"/>
    <w:rsid w:val="009C1497"/>
    <w:rsid w:val="009E039E"/>
    <w:rsid w:val="009E718C"/>
    <w:rsid w:val="009E72B6"/>
    <w:rsid w:val="009F082C"/>
    <w:rsid w:val="009F197D"/>
    <w:rsid w:val="009F5E59"/>
    <w:rsid w:val="009F6F24"/>
    <w:rsid w:val="00A0011F"/>
    <w:rsid w:val="00A00275"/>
    <w:rsid w:val="00A1027E"/>
    <w:rsid w:val="00A11BC8"/>
    <w:rsid w:val="00A15DC6"/>
    <w:rsid w:val="00A15EB1"/>
    <w:rsid w:val="00A2438D"/>
    <w:rsid w:val="00A246B5"/>
    <w:rsid w:val="00A31A6C"/>
    <w:rsid w:val="00A34995"/>
    <w:rsid w:val="00A40CA9"/>
    <w:rsid w:val="00A42D32"/>
    <w:rsid w:val="00A46422"/>
    <w:rsid w:val="00A52457"/>
    <w:rsid w:val="00A53405"/>
    <w:rsid w:val="00A56C8E"/>
    <w:rsid w:val="00A71801"/>
    <w:rsid w:val="00A73792"/>
    <w:rsid w:val="00A808A0"/>
    <w:rsid w:val="00A87CDC"/>
    <w:rsid w:val="00A9503A"/>
    <w:rsid w:val="00A96374"/>
    <w:rsid w:val="00AA4100"/>
    <w:rsid w:val="00AA6577"/>
    <w:rsid w:val="00AB18E3"/>
    <w:rsid w:val="00AB708E"/>
    <w:rsid w:val="00AD58B9"/>
    <w:rsid w:val="00AE03A6"/>
    <w:rsid w:val="00AE27BB"/>
    <w:rsid w:val="00AF1D2D"/>
    <w:rsid w:val="00B0002C"/>
    <w:rsid w:val="00B00AA5"/>
    <w:rsid w:val="00B01E38"/>
    <w:rsid w:val="00B06716"/>
    <w:rsid w:val="00B210D4"/>
    <w:rsid w:val="00B225C9"/>
    <w:rsid w:val="00B24C1E"/>
    <w:rsid w:val="00B2548F"/>
    <w:rsid w:val="00B3109A"/>
    <w:rsid w:val="00B32440"/>
    <w:rsid w:val="00B459B5"/>
    <w:rsid w:val="00B51CCF"/>
    <w:rsid w:val="00B52D54"/>
    <w:rsid w:val="00B532CF"/>
    <w:rsid w:val="00B53DB5"/>
    <w:rsid w:val="00B54546"/>
    <w:rsid w:val="00B62AF2"/>
    <w:rsid w:val="00B6671E"/>
    <w:rsid w:val="00B70D79"/>
    <w:rsid w:val="00B71DF8"/>
    <w:rsid w:val="00B91C80"/>
    <w:rsid w:val="00BA1459"/>
    <w:rsid w:val="00BA4E71"/>
    <w:rsid w:val="00BA573B"/>
    <w:rsid w:val="00BB75CE"/>
    <w:rsid w:val="00BB77B4"/>
    <w:rsid w:val="00BC46FF"/>
    <w:rsid w:val="00BF007C"/>
    <w:rsid w:val="00BF18EB"/>
    <w:rsid w:val="00BF245E"/>
    <w:rsid w:val="00BF69DA"/>
    <w:rsid w:val="00BF7707"/>
    <w:rsid w:val="00C009DC"/>
    <w:rsid w:val="00C121CE"/>
    <w:rsid w:val="00C13133"/>
    <w:rsid w:val="00C22272"/>
    <w:rsid w:val="00C245DE"/>
    <w:rsid w:val="00C37439"/>
    <w:rsid w:val="00C45BAA"/>
    <w:rsid w:val="00C4745C"/>
    <w:rsid w:val="00C553CC"/>
    <w:rsid w:val="00C609D7"/>
    <w:rsid w:val="00C718E6"/>
    <w:rsid w:val="00C72F32"/>
    <w:rsid w:val="00C74AA0"/>
    <w:rsid w:val="00C84B11"/>
    <w:rsid w:val="00C85EF9"/>
    <w:rsid w:val="00C92E51"/>
    <w:rsid w:val="00C966F4"/>
    <w:rsid w:val="00CA70D7"/>
    <w:rsid w:val="00CB12D9"/>
    <w:rsid w:val="00CB1777"/>
    <w:rsid w:val="00CB1DA9"/>
    <w:rsid w:val="00CC030B"/>
    <w:rsid w:val="00CD3F58"/>
    <w:rsid w:val="00CE6602"/>
    <w:rsid w:val="00CF7B21"/>
    <w:rsid w:val="00D0088F"/>
    <w:rsid w:val="00D018C1"/>
    <w:rsid w:val="00D029DA"/>
    <w:rsid w:val="00D06921"/>
    <w:rsid w:val="00D1605E"/>
    <w:rsid w:val="00D20388"/>
    <w:rsid w:val="00D20FBA"/>
    <w:rsid w:val="00D2453B"/>
    <w:rsid w:val="00D3082A"/>
    <w:rsid w:val="00D361A4"/>
    <w:rsid w:val="00D36A7B"/>
    <w:rsid w:val="00D4128F"/>
    <w:rsid w:val="00D42EF5"/>
    <w:rsid w:val="00D82A24"/>
    <w:rsid w:val="00D906E8"/>
    <w:rsid w:val="00D97BF3"/>
    <w:rsid w:val="00DA78BE"/>
    <w:rsid w:val="00DB28AA"/>
    <w:rsid w:val="00DC0D65"/>
    <w:rsid w:val="00DD410E"/>
    <w:rsid w:val="00DE0B70"/>
    <w:rsid w:val="00DE4353"/>
    <w:rsid w:val="00DE5FF7"/>
    <w:rsid w:val="00DF0FC6"/>
    <w:rsid w:val="00DF1554"/>
    <w:rsid w:val="00DF5798"/>
    <w:rsid w:val="00E02FB9"/>
    <w:rsid w:val="00E04EBE"/>
    <w:rsid w:val="00E1196C"/>
    <w:rsid w:val="00E2263A"/>
    <w:rsid w:val="00E253FF"/>
    <w:rsid w:val="00E32CF7"/>
    <w:rsid w:val="00E3417B"/>
    <w:rsid w:val="00E35621"/>
    <w:rsid w:val="00E36503"/>
    <w:rsid w:val="00E4026F"/>
    <w:rsid w:val="00E57803"/>
    <w:rsid w:val="00E60468"/>
    <w:rsid w:val="00E65CF6"/>
    <w:rsid w:val="00E661FD"/>
    <w:rsid w:val="00E7065A"/>
    <w:rsid w:val="00E7648F"/>
    <w:rsid w:val="00E81346"/>
    <w:rsid w:val="00E83416"/>
    <w:rsid w:val="00E87994"/>
    <w:rsid w:val="00EA21C7"/>
    <w:rsid w:val="00EA4AE3"/>
    <w:rsid w:val="00EA5B5A"/>
    <w:rsid w:val="00EA659A"/>
    <w:rsid w:val="00EB781E"/>
    <w:rsid w:val="00ED579E"/>
    <w:rsid w:val="00EE1B50"/>
    <w:rsid w:val="00EE3D3D"/>
    <w:rsid w:val="00EE5BF8"/>
    <w:rsid w:val="00EE6876"/>
    <w:rsid w:val="00EF0BDA"/>
    <w:rsid w:val="00EF1AE7"/>
    <w:rsid w:val="00EF6F64"/>
    <w:rsid w:val="00F00701"/>
    <w:rsid w:val="00F01111"/>
    <w:rsid w:val="00F0185F"/>
    <w:rsid w:val="00F117B7"/>
    <w:rsid w:val="00F12AA5"/>
    <w:rsid w:val="00F2798D"/>
    <w:rsid w:val="00F30D5A"/>
    <w:rsid w:val="00F32FB5"/>
    <w:rsid w:val="00F360CB"/>
    <w:rsid w:val="00F428D5"/>
    <w:rsid w:val="00F47B30"/>
    <w:rsid w:val="00F505AB"/>
    <w:rsid w:val="00F56C4D"/>
    <w:rsid w:val="00F71FFD"/>
    <w:rsid w:val="00F735DA"/>
    <w:rsid w:val="00F73735"/>
    <w:rsid w:val="00F81F11"/>
    <w:rsid w:val="00F82383"/>
    <w:rsid w:val="00F82905"/>
    <w:rsid w:val="00F83534"/>
    <w:rsid w:val="00F94EE5"/>
    <w:rsid w:val="00F9676A"/>
    <w:rsid w:val="00FA05FB"/>
    <w:rsid w:val="00FA0B51"/>
    <w:rsid w:val="00FA2146"/>
    <w:rsid w:val="00FA6CA2"/>
    <w:rsid w:val="00FB085D"/>
    <w:rsid w:val="00FB08ED"/>
    <w:rsid w:val="00FB185F"/>
    <w:rsid w:val="00FC1B03"/>
    <w:rsid w:val="00FC4EE0"/>
    <w:rsid w:val="00FD3485"/>
    <w:rsid w:val="00FD4AE2"/>
    <w:rsid w:val="00FD5EA0"/>
    <w:rsid w:val="00FD650A"/>
    <w:rsid w:val="00FD71FB"/>
    <w:rsid w:val="00FE1FF3"/>
    <w:rsid w:val="00FE2AFF"/>
    <w:rsid w:val="00FE41F2"/>
    <w:rsid w:val="00FE4F0E"/>
    <w:rsid w:val="00FE546F"/>
    <w:rsid w:val="00FF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C0F8B"/>
  <w15:chartTrackingRefBased/>
  <w15:docId w15:val="{731808EC-A064-413B-B43A-66A13549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BDA"/>
    <w:pPr>
      <w:jc w:val="both"/>
    </w:pPr>
    <w:rPr>
      <w:lang w:val="en-GB"/>
    </w:rPr>
  </w:style>
  <w:style w:type="paragraph" w:styleId="Heading1">
    <w:name w:val="heading 1"/>
    <w:basedOn w:val="Normal"/>
    <w:next w:val="Normal"/>
    <w:link w:val="Heading1Char"/>
    <w:uiPriority w:val="9"/>
    <w:qFormat/>
    <w:rsid w:val="00883CEA"/>
    <w:pPr>
      <w:keepNext/>
      <w:keepLines/>
      <w:numPr>
        <w:numId w:val="1"/>
      </w:numPr>
      <w:spacing w:before="400" w:after="40" w:line="276" w:lineRule="auto"/>
      <w:outlineLvl w:val="0"/>
    </w:pPr>
    <w:rPr>
      <w:rFonts w:asciiTheme="majorHAnsi" w:eastAsiaTheme="majorEastAsia" w:hAnsiTheme="majorHAnsi" w:cstheme="majorBidi"/>
      <w:color w:val="0070C0"/>
      <w:sz w:val="36"/>
      <w:szCs w:val="36"/>
    </w:rPr>
  </w:style>
  <w:style w:type="paragraph" w:styleId="Heading2">
    <w:name w:val="heading 2"/>
    <w:basedOn w:val="Normal"/>
    <w:next w:val="Normal"/>
    <w:link w:val="Heading2Char"/>
    <w:uiPriority w:val="9"/>
    <w:unhideWhenUsed/>
    <w:qFormat/>
    <w:rsid w:val="00883CEA"/>
    <w:pPr>
      <w:keepNext/>
      <w:keepLines/>
      <w:numPr>
        <w:ilvl w:val="1"/>
        <w:numId w:val="1"/>
      </w:numPr>
      <w:spacing w:before="40" w:after="0" w:line="360" w:lineRule="auto"/>
      <w:outlineLvl w:val="1"/>
    </w:pPr>
    <w:rPr>
      <w:rFonts w:asciiTheme="majorHAnsi" w:eastAsiaTheme="majorEastAsia" w:hAnsiTheme="majorHAnsi" w:cstheme="majorBidi"/>
      <w:color w:val="00B0F0"/>
      <w:sz w:val="32"/>
      <w:szCs w:val="32"/>
    </w:rPr>
  </w:style>
  <w:style w:type="paragraph" w:styleId="Heading3">
    <w:name w:val="heading 3"/>
    <w:basedOn w:val="Normal"/>
    <w:next w:val="Normal"/>
    <w:link w:val="Heading3Char"/>
    <w:uiPriority w:val="9"/>
    <w:unhideWhenUsed/>
    <w:qFormat/>
    <w:rsid w:val="00883CEA"/>
    <w:pPr>
      <w:keepNext/>
      <w:keepLines/>
      <w:numPr>
        <w:ilvl w:val="2"/>
        <w:numId w:val="1"/>
      </w:numPr>
      <w:spacing w:before="40" w:after="0" w:line="360" w:lineRule="auto"/>
      <w:outlineLvl w:val="2"/>
    </w:pPr>
    <w:rPr>
      <w:rFonts w:asciiTheme="majorHAnsi" w:eastAsiaTheme="majorEastAsia" w:hAnsiTheme="majorHAnsi" w:cstheme="majorBidi"/>
      <w:color w:val="0070C0"/>
      <w:sz w:val="28"/>
      <w:szCs w:val="28"/>
    </w:rPr>
  </w:style>
  <w:style w:type="paragraph" w:styleId="Heading4">
    <w:name w:val="heading 4"/>
    <w:basedOn w:val="Normal"/>
    <w:next w:val="Normal"/>
    <w:link w:val="Heading4Char"/>
    <w:uiPriority w:val="9"/>
    <w:unhideWhenUsed/>
    <w:qFormat/>
    <w:rsid w:val="00883CEA"/>
    <w:pPr>
      <w:keepNext/>
      <w:keepLines/>
      <w:spacing w:before="40" w:after="0"/>
      <w:outlineLvl w:val="3"/>
    </w:pPr>
    <w:rPr>
      <w:rFonts w:asciiTheme="majorHAnsi" w:eastAsiaTheme="majorEastAsia" w:hAnsiTheme="majorHAnsi" w:cstheme="majorBidi"/>
      <w:b/>
      <w:color w:val="0070C0"/>
      <w:sz w:val="24"/>
      <w:szCs w:val="24"/>
      <w:lang w:val="fr-LU"/>
    </w:rPr>
  </w:style>
  <w:style w:type="paragraph" w:styleId="Heading5">
    <w:name w:val="heading 5"/>
    <w:basedOn w:val="Normal"/>
    <w:next w:val="Normal"/>
    <w:link w:val="Heading5Char"/>
    <w:uiPriority w:val="9"/>
    <w:semiHidden/>
    <w:unhideWhenUsed/>
    <w:qFormat/>
    <w:rsid w:val="005023AF"/>
    <w:pPr>
      <w:keepNext/>
      <w:keepLines/>
      <w:spacing w:before="40" w:after="0"/>
      <w:outlineLvl w:val="4"/>
    </w:pPr>
    <w:rPr>
      <w:rFonts w:asciiTheme="majorHAnsi" w:eastAsiaTheme="majorEastAsia" w:hAnsiTheme="majorHAnsi" w:cstheme="majorBidi"/>
      <w:caps/>
      <w:color w:val="9B3701" w:themeColor="accent1" w:themeShade="BF"/>
    </w:rPr>
  </w:style>
  <w:style w:type="paragraph" w:styleId="Heading6">
    <w:name w:val="heading 6"/>
    <w:basedOn w:val="Normal"/>
    <w:next w:val="Normal"/>
    <w:link w:val="Heading6Char"/>
    <w:uiPriority w:val="9"/>
    <w:semiHidden/>
    <w:unhideWhenUsed/>
    <w:qFormat/>
    <w:rsid w:val="005023AF"/>
    <w:pPr>
      <w:keepNext/>
      <w:keepLines/>
      <w:spacing w:before="40" w:after="0"/>
      <w:outlineLvl w:val="5"/>
    </w:pPr>
    <w:rPr>
      <w:rFonts w:asciiTheme="majorHAnsi" w:eastAsiaTheme="majorEastAsia" w:hAnsiTheme="majorHAnsi" w:cstheme="majorBidi"/>
      <w:i/>
      <w:iCs/>
      <w:caps/>
      <w:color w:val="682501" w:themeColor="accent1" w:themeShade="80"/>
    </w:rPr>
  </w:style>
  <w:style w:type="paragraph" w:styleId="Heading7">
    <w:name w:val="heading 7"/>
    <w:basedOn w:val="Normal"/>
    <w:next w:val="Normal"/>
    <w:link w:val="Heading7Char"/>
    <w:uiPriority w:val="9"/>
    <w:semiHidden/>
    <w:unhideWhenUsed/>
    <w:qFormat/>
    <w:rsid w:val="005023AF"/>
    <w:pPr>
      <w:keepNext/>
      <w:keepLines/>
      <w:spacing w:before="40" w:after="0"/>
      <w:outlineLvl w:val="6"/>
    </w:pPr>
    <w:rPr>
      <w:rFonts w:asciiTheme="majorHAnsi" w:eastAsiaTheme="majorEastAsia" w:hAnsiTheme="majorHAnsi" w:cstheme="majorBidi"/>
      <w:b/>
      <w:bCs/>
      <w:color w:val="682501" w:themeColor="accent1" w:themeShade="80"/>
    </w:rPr>
  </w:style>
  <w:style w:type="paragraph" w:styleId="Heading8">
    <w:name w:val="heading 8"/>
    <w:basedOn w:val="Normal"/>
    <w:next w:val="Normal"/>
    <w:link w:val="Heading8Char"/>
    <w:uiPriority w:val="9"/>
    <w:semiHidden/>
    <w:unhideWhenUsed/>
    <w:qFormat/>
    <w:rsid w:val="005023AF"/>
    <w:pPr>
      <w:keepNext/>
      <w:keepLines/>
      <w:spacing w:before="40" w:after="0"/>
      <w:outlineLvl w:val="7"/>
    </w:pPr>
    <w:rPr>
      <w:rFonts w:asciiTheme="majorHAnsi" w:eastAsiaTheme="majorEastAsia" w:hAnsiTheme="majorHAnsi" w:cstheme="majorBidi"/>
      <w:b/>
      <w:bCs/>
      <w:i/>
      <w:iCs/>
      <w:color w:val="682501" w:themeColor="accent1" w:themeShade="80"/>
    </w:rPr>
  </w:style>
  <w:style w:type="paragraph" w:styleId="Heading9">
    <w:name w:val="heading 9"/>
    <w:basedOn w:val="Normal"/>
    <w:next w:val="Normal"/>
    <w:link w:val="Heading9Char"/>
    <w:uiPriority w:val="9"/>
    <w:semiHidden/>
    <w:unhideWhenUsed/>
    <w:qFormat/>
    <w:rsid w:val="005023AF"/>
    <w:pPr>
      <w:keepNext/>
      <w:keepLines/>
      <w:spacing w:before="40" w:after="0"/>
      <w:outlineLvl w:val="8"/>
    </w:pPr>
    <w:rPr>
      <w:rFonts w:asciiTheme="majorHAnsi" w:eastAsiaTheme="majorEastAsia" w:hAnsiTheme="majorHAnsi" w:cstheme="majorBidi"/>
      <w:i/>
      <w:iCs/>
      <w:color w:val="68250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uiPriority w:val="99"/>
    <w:rsid w:val="0082191C"/>
    <w:pPr>
      <w:widowControl w:val="0"/>
      <w:tabs>
        <w:tab w:val="left" w:pos="397"/>
      </w:tabs>
      <w:spacing w:after="0" w:line="260" w:lineRule="atLeast"/>
    </w:pPr>
    <w:rPr>
      <w:rFonts w:ascii="Univers 45 Light" w:hAnsi="Univers 45 Light"/>
    </w:rPr>
  </w:style>
  <w:style w:type="character" w:customStyle="1" w:styleId="BodytextChar">
    <w:name w:val="Body text Char"/>
    <w:link w:val="BodyText1"/>
    <w:uiPriority w:val="99"/>
    <w:locked/>
    <w:rsid w:val="0082191C"/>
    <w:rPr>
      <w:rFonts w:ascii="Univers 45 Light" w:eastAsia="Times New Roman" w:hAnsi="Univers 45 Light" w:cs="Univers 45 Light"/>
      <w:color w:val="000000"/>
      <w:sz w:val="20"/>
      <w:szCs w:val="20"/>
      <w:lang w:val="en-GB"/>
    </w:rPr>
  </w:style>
  <w:style w:type="paragraph" w:customStyle="1" w:styleId="Explain1">
    <w:name w:val="Explain 1"/>
    <w:basedOn w:val="BodyText1"/>
    <w:uiPriority w:val="99"/>
    <w:rsid w:val="0082191C"/>
    <w:pPr>
      <w:tabs>
        <w:tab w:val="clear" w:pos="397"/>
        <w:tab w:val="left" w:pos="510"/>
        <w:tab w:val="left" w:pos="1531"/>
        <w:tab w:val="left" w:pos="1814"/>
      </w:tabs>
      <w:ind w:left="1531" w:right="113" w:hanging="1417"/>
    </w:pPr>
  </w:style>
  <w:style w:type="character" w:styleId="Hyperlink">
    <w:name w:val="Hyperlink"/>
    <w:uiPriority w:val="99"/>
    <w:rsid w:val="0082191C"/>
    <w:rPr>
      <w:rFonts w:cs="Times New Roman"/>
      <w:color w:val="0000FF"/>
      <w:u w:val="single"/>
    </w:rPr>
  </w:style>
  <w:style w:type="paragraph" w:styleId="Title">
    <w:name w:val="Title"/>
    <w:basedOn w:val="Normal"/>
    <w:next w:val="Normal"/>
    <w:link w:val="TitleChar"/>
    <w:uiPriority w:val="10"/>
    <w:qFormat/>
    <w:rsid w:val="005023AF"/>
    <w:pPr>
      <w:spacing w:after="0" w:line="204" w:lineRule="auto"/>
      <w:contextualSpacing/>
    </w:pPr>
    <w:rPr>
      <w:rFonts w:asciiTheme="majorHAnsi" w:eastAsiaTheme="majorEastAsia" w:hAnsiTheme="majorHAnsi" w:cstheme="majorBidi"/>
      <w:caps/>
      <w:color w:val="7D7D7D" w:themeColor="text2"/>
      <w:spacing w:val="-15"/>
      <w:sz w:val="72"/>
      <w:szCs w:val="72"/>
    </w:rPr>
  </w:style>
  <w:style w:type="character" w:customStyle="1" w:styleId="TitleChar">
    <w:name w:val="Title Char"/>
    <w:basedOn w:val="DefaultParagraphFont"/>
    <w:link w:val="Title"/>
    <w:uiPriority w:val="10"/>
    <w:rsid w:val="005023AF"/>
    <w:rPr>
      <w:rFonts w:asciiTheme="majorHAnsi" w:eastAsiaTheme="majorEastAsia" w:hAnsiTheme="majorHAnsi" w:cstheme="majorBidi"/>
      <w:caps/>
      <w:color w:val="7D7D7D" w:themeColor="text2"/>
      <w:spacing w:val="-15"/>
      <w:sz w:val="72"/>
      <w:szCs w:val="72"/>
    </w:rPr>
  </w:style>
  <w:style w:type="character" w:customStyle="1" w:styleId="Heading1Char">
    <w:name w:val="Heading 1 Char"/>
    <w:basedOn w:val="DefaultParagraphFont"/>
    <w:link w:val="Heading1"/>
    <w:uiPriority w:val="9"/>
    <w:rsid w:val="00883CEA"/>
    <w:rPr>
      <w:rFonts w:asciiTheme="majorHAnsi" w:eastAsiaTheme="majorEastAsia" w:hAnsiTheme="majorHAnsi" w:cstheme="majorBidi"/>
      <w:color w:val="0070C0"/>
      <w:sz w:val="36"/>
      <w:szCs w:val="36"/>
      <w:lang w:val="en-GB"/>
    </w:rPr>
  </w:style>
  <w:style w:type="character" w:customStyle="1" w:styleId="Heading2Char">
    <w:name w:val="Heading 2 Char"/>
    <w:basedOn w:val="DefaultParagraphFont"/>
    <w:link w:val="Heading2"/>
    <w:uiPriority w:val="9"/>
    <w:rsid w:val="00883CEA"/>
    <w:rPr>
      <w:rFonts w:asciiTheme="majorHAnsi" w:eastAsiaTheme="majorEastAsia" w:hAnsiTheme="majorHAnsi" w:cstheme="majorBidi"/>
      <w:color w:val="00B0F0"/>
      <w:sz w:val="32"/>
      <w:szCs w:val="32"/>
      <w:lang w:val="en-GB"/>
    </w:rPr>
  </w:style>
  <w:style w:type="character" w:customStyle="1" w:styleId="Heading3Char">
    <w:name w:val="Heading 3 Char"/>
    <w:basedOn w:val="DefaultParagraphFont"/>
    <w:link w:val="Heading3"/>
    <w:uiPriority w:val="9"/>
    <w:rsid w:val="00883CEA"/>
    <w:rPr>
      <w:rFonts w:asciiTheme="majorHAnsi" w:eastAsiaTheme="majorEastAsia" w:hAnsiTheme="majorHAnsi" w:cstheme="majorBidi"/>
      <w:color w:val="0070C0"/>
      <w:sz w:val="28"/>
      <w:szCs w:val="28"/>
      <w:lang w:val="en-GB"/>
    </w:rPr>
  </w:style>
  <w:style w:type="character" w:customStyle="1" w:styleId="Heading4Char">
    <w:name w:val="Heading 4 Char"/>
    <w:basedOn w:val="DefaultParagraphFont"/>
    <w:link w:val="Heading4"/>
    <w:uiPriority w:val="9"/>
    <w:rsid w:val="00883CEA"/>
    <w:rPr>
      <w:rFonts w:asciiTheme="majorHAnsi" w:eastAsiaTheme="majorEastAsia" w:hAnsiTheme="majorHAnsi" w:cstheme="majorBidi"/>
      <w:b/>
      <w:color w:val="0070C0"/>
      <w:sz w:val="24"/>
      <w:szCs w:val="24"/>
      <w:lang w:val="fr-LU"/>
    </w:rPr>
  </w:style>
  <w:style w:type="character" w:customStyle="1" w:styleId="Heading5Char">
    <w:name w:val="Heading 5 Char"/>
    <w:basedOn w:val="DefaultParagraphFont"/>
    <w:link w:val="Heading5"/>
    <w:uiPriority w:val="9"/>
    <w:semiHidden/>
    <w:rsid w:val="005023AF"/>
    <w:rPr>
      <w:rFonts w:asciiTheme="majorHAnsi" w:eastAsiaTheme="majorEastAsia" w:hAnsiTheme="majorHAnsi" w:cstheme="majorBidi"/>
      <w:caps/>
      <w:color w:val="9B3701" w:themeColor="accent1" w:themeShade="BF"/>
    </w:rPr>
  </w:style>
  <w:style w:type="character" w:customStyle="1" w:styleId="Heading6Char">
    <w:name w:val="Heading 6 Char"/>
    <w:basedOn w:val="DefaultParagraphFont"/>
    <w:link w:val="Heading6"/>
    <w:uiPriority w:val="9"/>
    <w:semiHidden/>
    <w:rsid w:val="005023AF"/>
    <w:rPr>
      <w:rFonts w:asciiTheme="majorHAnsi" w:eastAsiaTheme="majorEastAsia" w:hAnsiTheme="majorHAnsi" w:cstheme="majorBidi"/>
      <w:i/>
      <w:iCs/>
      <w:caps/>
      <w:color w:val="682501" w:themeColor="accent1" w:themeShade="80"/>
    </w:rPr>
  </w:style>
  <w:style w:type="character" w:customStyle="1" w:styleId="Heading7Char">
    <w:name w:val="Heading 7 Char"/>
    <w:basedOn w:val="DefaultParagraphFont"/>
    <w:link w:val="Heading7"/>
    <w:uiPriority w:val="9"/>
    <w:semiHidden/>
    <w:rsid w:val="005023AF"/>
    <w:rPr>
      <w:rFonts w:asciiTheme="majorHAnsi" w:eastAsiaTheme="majorEastAsia" w:hAnsiTheme="majorHAnsi" w:cstheme="majorBidi"/>
      <w:b/>
      <w:bCs/>
      <w:color w:val="682501" w:themeColor="accent1" w:themeShade="80"/>
    </w:rPr>
  </w:style>
  <w:style w:type="character" w:customStyle="1" w:styleId="Heading8Char">
    <w:name w:val="Heading 8 Char"/>
    <w:basedOn w:val="DefaultParagraphFont"/>
    <w:link w:val="Heading8"/>
    <w:uiPriority w:val="9"/>
    <w:semiHidden/>
    <w:rsid w:val="005023AF"/>
    <w:rPr>
      <w:rFonts w:asciiTheme="majorHAnsi" w:eastAsiaTheme="majorEastAsia" w:hAnsiTheme="majorHAnsi" w:cstheme="majorBidi"/>
      <w:b/>
      <w:bCs/>
      <w:i/>
      <w:iCs/>
      <w:color w:val="682501" w:themeColor="accent1" w:themeShade="80"/>
    </w:rPr>
  </w:style>
  <w:style w:type="character" w:customStyle="1" w:styleId="Heading9Char">
    <w:name w:val="Heading 9 Char"/>
    <w:basedOn w:val="DefaultParagraphFont"/>
    <w:link w:val="Heading9"/>
    <w:uiPriority w:val="9"/>
    <w:semiHidden/>
    <w:rsid w:val="005023AF"/>
    <w:rPr>
      <w:rFonts w:asciiTheme="majorHAnsi" w:eastAsiaTheme="majorEastAsia" w:hAnsiTheme="majorHAnsi" w:cstheme="majorBidi"/>
      <w:i/>
      <w:iCs/>
      <w:color w:val="682501" w:themeColor="accent1" w:themeShade="80"/>
    </w:rPr>
  </w:style>
  <w:style w:type="paragraph" w:styleId="Caption">
    <w:name w:val="caption"/>
    <w:basedOn w:val="Normal"/>
    <w:next w:val="Normal"/>
    <w:unhideWhenUsed/>
    <w:qFormat/>
    <w:rsid w:val="00D42EF5"/>
    <w:pPr>
      <w:spacing w:line="240" w:lineRule="auto"/>
    </w:pPr>
    <w:rPr>
      <w:b/>
      <w:bCs/>
      <w:i/>
      <w:smallCaps/>
      <w:color w:val="808080" w:themeColor="background1" w:themeShade="80"/>
      <w:sz w:val="18"/>
    </w:rPr>
  </w:style>
  <w:style w:type="paragraph" w:styleId="Subtitle">
    <w:name w:val="Subtitle"/>
    <w:basedOn w:val="Normal"/>
    <w:next w:val="Normal"/>
    <w:link w:val="SubtitleChar"/>
    <w:uiPriority w:val="11"/>
    <w:qFormat/>
    <w:rsid w:val="00D42EF5"/>
    <w:pPr>
      <w:numPr>
        <w:ilvl w:val="1"/>
      </w:numPr>
      <w:spacing w:after="240" w:line="240" w:lineRule="auto"/>
    </w:pPr>
    <w:rPr>
      <w:rFonts w:asciiTheme="majorHAnsi" w:eastAsiaTheme="majorEastAsia" w:hAnsiTheme="majorHAnsi" w:cstheme="majorBidi"/>
      <w:i/>
      <w:color w:val="000000" w:themeColor="text1"/>
      <w:sz w:val="24"/>
      <w:szCs w:val="28"/>
      <w:u w:val="single"/>
    </w:rPr>
  </w:style>
  <w:style w:type="character" w:customStyle="1" w:styleId="SubtitleChar">
    <w:name w:val="Subtitle Char"/>
    <w:basedOn w:val="DefaultParagraphFont"/>
    <w:link w:val="Subtitle"/>
    <w:uiPriority w:val="11"/>
    <w:rsid w:val="00D42EF5"/>
    <w:rPr>
      <w:rFonts w:asciiTheme="majorHAnsi" w:eastAsiaTheme="majorEastAsia" w:hAnsiTheme="majorHAnsi" w:cstheme="majorBidi"/>
      <w:i/>
      <w:color w:val="000000" w:themeColor="text1"/>
      <w:sz w:val="24"/>
      <w:szCs w:val="28"/>
      <w:u w:val="single"/>
    </w:rPr>
  </w:style>
  <w:style w:type="character" w:styleId="Strong">
    <w:name w:val="Strong"/>
    <w:basedOn w:val="DefaultParagraphFont"/>
    <w:uiPriority w:val="22"/>
    <w:qFormat/>
    <w:rsid w:val="005023AF"/>
    <w:rPr>
      <w:b/>
      <w:bCs/>
    </w:rPr>
  </w:style>
  <w:style w:type="character" w:styleId="Emphasis">
    <w:name w:val="Emphasis"/>
    <w:basedOn w:val="DefaultParagraphFont"/>
    <w:uiPriority w:val="20"/>
    <w:qFormat/>
    <w:rsid w:val="005023AF"/>
    <w:rPr>
      <w:i/>
      <w:iCs/>
    </w:rPr>
  </w:style>
  <w:style w:type="paragraph" w:styleId="NoSpacing">
    <w:name w:val="No Spacing"/>
    <w:uiPriority w:val="1"/>
    <w:qFormat/>
    <w:rsid w:val="005023AF"/>
    <w:pPr>
      <w:spacing w:after="0" w:line="240" w:lineRule="auto"/>
    </w:pPr>
  </w:style>
  <w:style w:type="paragraph" w:styleId="Quote">
    <w:name w:val="Quote"/>
    <w:basedOn w:val="Normal"/>
    <w:next w:val="Normal"/>
    <w:link w:val="QuoteChar"/>
    <w:uiPriority w:val="29"/>
    <w:qFormat/>
    <w:rsid w:val="005023AF"/>
    <w:pPr>
      <w:spacing w:before="120" w:after="120"/>
      <w:ind w:left="720"/>
    </w:pPr>
    <w:rPr>
      <w:color w:val="7D7D7D" w:themeColor="text2"/>
      <w:sz w:val="24"/>
      <w:szCs w:val="24"/>
    </w:rPr>
  </w:style>
  <w:style w:type="character" w:customStyle="1" w:styleId="QuoteChar">
    <w:name w:val="Quote Char"/>
    <w:basedOn w:val="DefaultParagraphFont"/>
    <w:link w:val="Quote"/>
    <w:uiPriority w:val="29"/>
    <w:rsid w:val="005023AF"/>
    <w:rPr>
      <w:color w:val="7D7D7D" w:themeColor="text2"/>
      <w:sz w:val="24"/>
      <w:szCs w:val="24"/>
    </w:rPr>
  </w:style>
  <w:style w:type="paragraph" w:styleId="IntenseQuote">
    <w:name w:val="Intense Quote"/>
    <w:basedOn w:val="Normal"/>
    <w:next w:val="Normal"/>
    <w:link w:val="IntenseQuoteChar"/>
    <w:uiPriority w:val="30"/>
    <w:qFormat/>
    <w:rsid w:val="005023AF"/>
    <w:pPr>
      <w:spacing w:before="100" w:beforeAutospacing="1" w:after="240" w:line="240" w:lineRule="auto"/>
      <w:ind w:left="720"/>
      <w:jc w:val="center"/>
    </w:pPr>
    <w:rPr>
      <w:rFonts w:asciiTheme="majorHAnsi" w:eastAsiaTheme="majorEastAsia" w:hAnsiTheme="majorHAnsi" w:cstheme="majorBidi"/>
      <w:color w:val="7D7D7D" w:themeColor="text2"/>
      <w:spacing w:val="-6"/>
      <w:sz w:val="32"/>
      <w:szCs w:val="32"/>
    </w:rPr>
  </w:style>
  <w:style w:type="character" w:customStyle="1" w:styleId="IntenseQuoteChar">
    <w:name w:val="Intense Quote Char"/>
    <w:basedOn w:val="DefaultParagraphFont"/>
    <w:link w:val="IntenseQuote"/>
    <w:uiPriority w:val="30"/>
    <w:rsid w:val="005023AF"/>
    <w:rPr>
      <w:rFonts w:asciiTheme="majorHAnsi" w:eastAsiaTheme="majorEastAsia" w:hAnsiTheme="majorHAnsi" w:cstheme="majorBidi"/>
      <w:color w:val="7D7D7D" w:themeColor="text2"/>
      <w:spacing w:val="-6"/>
      <w:sz w:val="32"/>
      <w:szCs w:val="32"/>
    </w:rPr>
  </w:style>
  <w:style w:type="character" w:styleId="SubtleEmphasis">
    <w:name w:val="Subtle Emphasis"/>
    <w:basedOn w:val="DefaultParagraphFont"/>
    <w:uiPriority w:val="19"/>
    <w:qFormat/>
    <w:rsid w:val="00D42EF5"/>
    <w:rPr>
      <w:b/>
      <w:i/>
      <w:iCs/>
      <w:color w:val="000000" w:themeColor="text1"/>
    </w:rPr>
  </w:style>
  <w:style w:type="character" w:styleId="IntenseEmphasis">
    <w:name w:val="Intense Emphasis"/>
    <w:basedOn w:val="DefaultParagraphFont"/>
    <w:uiPriority w:val="21"/>
    <w:qFormat/>
    <w:rsid w:val="005023AF"/>
    <w:rPr>
      <w:b/>
      <w:bCs/>
      <w:i/>
      <w:iCs/>
    </w:rPr>
  </w:style>
  <w:style w:type="character" w:styleId="SubtleReference">
    <w:name w:val="Subtle Reference"/>
    <w:basedOn w:val="DefaultParagraphFont"/>
    <w:uiPriority w:val="31"/>
    <w:qFormat/>
    <w:rsid w:val="005023A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23AF"/>
    <w:rPr>
      <w:b/>
      <w:bCs/>
      <w:smallCaps/>
      <w:color w:val="7D7D7D" w:themeColor="text2"/>
      <w:u w:val="single"/>
    </w:rPr>
  </w:style>
  <w:style w:type="character" w:styleId="BookTitle">
    <w:name w:val="Book Title"/>
    <w:basedOn w:val="DefaultParagraphFont"/>
    <w:uiPriority w:val="33"/>
    <w:qFormat/>
    <w:rsid w:val="005023AF"/>
    <w:rPr>
      <w:b/>
      <w:bCs/>
      <w:smallCaps/>
      <w:spacing w:val="10"/>
    </w:rPr>
  </w:style>
  <w:style w:type="paragraph" w:styleId="TOCHeading">
    <w:name w:val="TOC Heading"/>
    <w:basedOn w:val="Heading1"/>
    <w:next w:val="Normal"/>
    <w:uiPriority w:val="39"/>
    <w:unhideWhenUsed/>
    <w:qFormat/>
    <w:rsid w:val="005023AF"/>
    <w:pPr>
      <w:outlineLvl w:val="9"/>
    </w:pPr>
  </w:style>
  <w:style w:type="paragraph" w:styleId="Header">
    <w:name w:val="header"/>
    <w:basedOn w:val="Normal"/>
    <w:link w:val="HeaderChar"/>
    <w:uiPriority w:val="99"/>
    <w:unhideWhenUsed/>
    <w:rsid w:val="0050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3AF"/>
  </w:style>
  <w:style w:type="paragraph" w:styleId="Footer">
    <w:name w:val="footer"/>
    <w:basedOn w:val="Normal"/>
    <w:link w:val="FooterChar"/>
    <w:uiPriority w:val="99"/>
    <w:unhideWhenUsed/>
    <w:rsid w:val="00502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3AF"/>
  </w:style>
  <w:style w:type="paragraph" w:styleId="FootnoteText">
    <w:name w:val="footnote text"/>
    <w:basedOn w:val="Normal"/>
    <w:link w:val="FootnoteTextChar"/>
    <w:uiPriority w:val="99"/>
    <w:unhideWhenUsed/>
    <w:rsid w:val="00DC0D65"/>
    <w:pPr>
      <w:suppressAutoHyphens/>
      <w:autoSpaceDE w:val="0"/>
      <w:autoSpaceDN w:val="0"/>
      <w:adjustRightInd w:val="0"/>
      <w:spacing w:after="0" w:line="240" w:lineRule="auto"/>
      <w:ind w:left="1531"/>
      <w:textAlignment w:val="center"/>
    </w:pPr>
    <w:rPr>
      <w:rFonts w:ascii="Calibri" w:eastAsia="Times New Roman" w:hAnsi="Calibri" w:cs="Univers 45 Light"/>
      <w:color w:val="000000"/>
      <w:sz w:val="20"/>
      <w:szCs w:val="20"/>
    </w:rPr>
  </w:style>
  <w:style w:type="character" w:customStyle="1" w:styleId="FootnoteTextChar">
    <w:name w:val="Footnote Text Char"/>
    <w:basedOn w:val="DefaultParagraphFont"/>
    <w:link w:val="FootnoteText"/>
    <w:uiPriority w:val="99"/>
    <w:rsid w:val="00DC0D65"/>
    <w:rPr>
      <w:rFonts w:ascii="Calibri" w:eastAsia="Times New Roman" w:hAnsi="Calibri" w:cs="Univers 45 Light"/>
      <w:color w:val="000000"/>
      <w:sz w:val="20"/>
      <w:szCs w:val="20"/>
      <w:lang w:val="en-GB"/>
    </w:rPr>
  </w:style>
  <w:style w:type="character" w:styleId="FootnoteReference">
    <w:name w:val="footnote reference"/>
    <w:basedOn w:val="DefaultParagraphFont"/>
    <w:uiPriority w:val="99"/>
    <w:unhideWhenUsed/>
    <w:rsid w:val="00DC0D65"/>
    <w:rPr>
      <w:vertAlign w:val="superscript"/>
    </w:rPr>
  </w:style>
  <w:style w:type="paragraph" w:styleId="ListParagraph">
    <w:name w:val="List Paragraph"/>
    <w:basedOn w:val="Normal"/>
    <w:uiPriority w:val="34"/>
    <w:qFormat/>
    <w:rsid w:val="000A797B"/>
    <w:pPr>
      <w:ind w:left="720"/>
      <w:contextualSpacing/>
    </w:pPr>
  </w:style>
  <w:style w:type="paragraph" w:styleId="BalloonText">
    <w:name w:val="Balloon Text"/>
    <w:basedOn w:val="Normal"/>
    <w:link w:val="BalloonTextChar"/>
    <w:uiPriority w:val="99"/>
    <w:semiHidden/>
    <w:unhideWhenUsed/>
    <w:rsid w:val="00184A5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84A51"/>
    <w:rPr>
      <w:rFonts w:ascii="Segoe UI" w:hAnsi="Segoe UI"/>
      <w:sz w:val="18"/>
      <w:szCs w:val="18"/>
    </w:rPr>
  </w:style>
  <w:style w:type="character" w:styleId="CommentReference">
    <w:name w:val="annotation reference"/>
    <w:basedOn w:val="DefaultParagraphFont"/>
    <w:uiPriority w:val="99"/>
    <w:unhideWhenUsed/>
    <w:rsid w:val="00AF1D2D"/>
    <w:rPr>
      <w:sz w:val="16"/>
      <w:szCs w:val="16"/>
    </w:rPr>
  </w:style>
  <w:style w:type="paragraph" w:styleId="CommentText">
    <w:name w:val="annotation text"/>
    <w:basedOn w:val="Normal"/>
    <w:link w:val="CommentTextChar"/>
    <w:uiPriority w:val="99"/>
    <w:unhideWhenUsed/>
    <w:rsid w:val="00AF1D2D"/>
    <w:pPr>
      <w:spacing w:line="240" w:lineRule="auto"/>
    </w:pPr>
    <w:rPr>
      <w:sz w:val="20"/>
      <w:szCs w:val="20"/>
    </w:rPr>
  </w:style>
  <w:style w:type="character" w:customStyle="1" w:styleId="CommentTextChar">
    <w:name w:val="Comment Text Char"/>
    <w:basedOn w:val="DefaultParagraphFont"/>
    <w:link w:val="CommentText"/>
    <w:uiPriority w:val="99"/>
    <w:rsid w:val="00AF1D2D"/>
    <w:rPr>
      <w:sz w:val="20"/>
      <w:szCs w:val="20"/>
    </w:rPr>
  </w:style>
  <w:style w:type="paragraph" w:styleId="CommentSubject">
    <w:name w:val="annotation subject"/>
    <w:basedOn w:val="CommentText"/>
    <w:next w:val="CommentText"/>
    <w:link w:val="CommentSubjectChar"/>
    <w:uiPriority w:val="99"/>
    <w:semiHidden/>
    <w:unhideWhenUsed/>
    <w:rsid w:val="00AF1D2D"/>
    <w:rPr>
      <w:b/>
      <w:bCs/>
    </w:rPr>
  </w:style>
  <w:style w:type="character" w:customStyle="1" w:styleId="CommentSubjectChar">
    <w:name w:val="Comment Subject Char"/>
    <w:basedOn w:val="CommentTextChar"/>
    <w:link w:val="CommentSubject"/>
    <w:uiPriority w:val="99"/>
    <w:semiHidden/>
    <w:rsid w:val="00AF1D2D"/>
    <w:rPr>
      <w:b/>
      <w:bCs/>
      <w:sz w:val="20"/>
      <w:szCs w:val="20"/>
    </w:rPr>
  </w:style>
  <w:style w:type="paragraph" w:styleId="TOC1">
    <w:name w:val="toc 1"/>
    <w:basedOn w:val="Normal"/>
    <w:next w:val="Normal"/>
    <w:autoRedefine/>
    <w:uiPriority w:val="39"/>
    <w:unhideWhenUsed/>
    <w:rsid w:val="00996BCE"/>
    <w:pPr>
      <w:spacing w:after="100"/>
    </w:pPr>
  </w:style>
  <w:style w:type="paragraph" w:styleId="TOC2">
    <w:name w:val="toc 2"/>
    <w:basedOn w:val="Normal"/>
    <w:next w:val="Normal"/>
    <w:autoRedefine/>
    <w:uiPriority w:val="39"/>
    <w:unhideWhenUsed/>
    <w:rsid w:val="00996BCE"/>
    <w:pPr>
      <w:spacing w:after="100"/>
      <w:ind w:left="220"/>
    </w:pPr>
  </w:style>
  <w:style w:type="paragraph" w:styleId="TOC3">
    <w:name w:val="toc 3"/>
    <w:basedOn w:val="Normal"/>
    <w:next w:val="Normal"/>
    <w:autoRedefine/>
    <w:uiPriority w:val="39"/>
    <w:unhideWhenUsed/>
    <w:rsid w:val="00996BCE"/>
    <w:pPr>
      <w:spacing w:after="100"/>
      <w:ind w:left="440"/>
    </w:pPr>
  </w:style>
  <w:style w:type="table" w:styleId="TableGrid">
    <w:name w:val="Table Grid"/>
    <w:basedOn w:val="TableNormal"/>
    <w:uiPriority w:val="39"/>
    <w:rsid w:val="00920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170EAD"/>
    <w:pPr>
      <w:spacing w:after="0"/>
    </w:pPr>
  </w:style>
  <w:style w:type="paragraph" w:styleId="Revision">
    <w:name w:val="Revision"/>
    <w:hidden/>
    <w:uiPriority w:val="99"/>
    <w:semiHidden/>
    <w:rsid w:val="00F12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565">
      <w:bodyDiv w:val="1"/>
      <w:marLeft w:val="0"/>
      <w:marRight w:val="0"/>
      <w:marTop w:val="0"/>
      <w:marBottom w:val="0"/>
      <w:divBdr>
        <w:top w:val="none" w:sz="0" w:space="0" w:color="auto"/>
        <w:left w:val="none" w:sz="0" w:space="0" w:color="auto"/>
        <w:bottom w:val="none" w:sz="0" w:space="0" w:color="auto"/>
        <w:right w:val="none" w:sz="0" w:space="0" w:color="auto"/>
      </w:divBdr>
    </w:div>
    <w:div w:id="95518202">
      <w:bodyDiv w:val="1"/>
      <w:marLeft w:val="0"/>
      <w:marRight w:val="0"/>
      <w:marTop w:val="0"/>
      <w:marBottom w:val="0"/>
      <w:divBdr>
        <w:top w:val="none" w:sz="0" w:space="0" w:color="auto"/>
        <w:left w:val="none" w:sz="0" w:space="0" w:color="auto"/>
        <w:bottom w:val="none" w:sz="0" w:space="0" w:color="auto"/>
        <w:right w:val="none" w:sz="0" w:space="0" w:color="auto"/>
      </w:divBdr>
    </w:div>
    <w:div w:id="163281193">
      <w:bodyDiv w:val="1"/>
      <w:marLeft w:val="0"/>
      <w:marRight w:val="0"/>
      <w:marTop w:val="0"/>
      <w:marBottom w:val="0"/>
      <w:divBdr>
        <w:top w:val="none" w:sz="0" w:space="0" w:color="auto"/>
        <w:left w:val="none" w:sz="0" w:space="0" w:color="auto"/>
        <w:bottom w:val="none" w:sz="0" w:space="0" w:color="auto"/>
        <w:right w:val="none" w:sz="0" w:space="0" w:color="auto"/>
      </w:divBdr>
    </w:div>
    <w:div w:id="305670469">
      <w:bodyDiv w:val="1"/>
      <w:marLeft w:val="0"/>
      <w:marRight w:val="0"/>
      <w:marTop w:val="0"/>
      <w:marBottom w:val="0"/>
      <w:divBdr>
        <w:top w:val="none" w:sz="0" w:space="0" w:color="auto"/>
        <w:left w:val="none" w:sz="0" w:space="0" w:color="auto"/>
        <w:bottom w:val="none" w:sz="0" w:space="0" w:color="auto"/>
        <w:right w:val="none" w:sz="0" w:space="0" w:color="auto"/>
      </w:divBdr>
    </w:div>
    <w:div w:id="458688060">
      <w:bodyDiv w:val="1"/>
      <w:marLeft w:val="0"/>
      <w:marRight w:val="0"/>
      <w:marTop w:val="0"/>
      <w:marBottom w:val="0"/>
      <w:divBdr>
        <w:top w:val="none" w:sz="0" w:space="0" w:color="auto"/>
        <w:left w:val="none" w:sz="0" w:space="0" w:color="auto"/>
        <w:bottom w:val="none" w:sz="0" w:space="0" w:color="auto"/>
        <w:right w:val="none" w:sz="0" w:space="0" w:color="auto"/>
      </w:divBdr>
    </w:div>
    <w:div w:id="479159155">
      <w:bodyDiv w:val="1"/>
      <w:marLeft w:val="0"/>
      <w:marRight w:val="0"/>
      <w:marTop w:val="0"/>
      <w:marBottom w:val="0"/>
      <w:divBdr>
        <w:top w:val="none" w:sz="0" w:space="0" w:color="auto"/>
        <w:left w:val="none" w:sz="0" w:space="0" w:color="auto"/>
        <w:bottom w:val="none" w:sz="0" w:space="0" w:color="auto"/>
        <w:right w:val="none" w:sz="0" w:space="0" w:color="auto"/>
      </w:divBdr>
    </w:div>
    <w:div w:id="519663371">
      <w:bodyDiv w:val="1"/>
      <w:marLeft w:val="0"/>
      <w:marRight w:val="0"/>
      <w:marTop w:val="0"/>
      <w:marBottom w:val="0"/>
      <w:divBdr>
        <w:top w:val="none" w:sz="0" w:space="0" w:color="auto"/>
        <w:left w:val="none" w:sz="0" w:space="0" w:color="auto"/>
        <w:bottom w:val="none" w:sz="0" w:space="0" w:color="auto"/>
        <w:right w:val="none" w:sz="0" w:space="0" w:color="auto"/>
      </w:divBdr>
    </w:div>
    <w:div w:id="773522845">
      <w:bodyDiv w:val="1"/>
      <w:marLeft w:val="0"/>
      <w:marRight w:val="0"/>
      <w:marTop w:val="0"/>
      <w:marBottom w:val="0"/>
      <w:divBdr>
        <w:top w:val="none" w:sz="0" w:space="0" w:color="auto"/>
        <w:left w:val="none" w:sz="0" w:space="0" w:color="auto"/>
        <w:bottom w:val="none" w:sz="0" w:space="0" w:color="auto"/>
        <w:right w:val="none" w:sz="0" w:space="0" w:color="auto"/>
      </w:divBdr>
    </w:div>
    <w:div w:id="887491468">
      <w:bodyDiv w:val="1"/>
      <w:marLeft w:val="0"/>
      <w:marRight w:val="0"/>
      <w:marTop w:val="0"/>
      <w:marBottom w:val="0"/>
      <w:divBdr>
        <w:top w:val="none" w:sz="0" w:space="0" w:color="auto"/>
        <w:left w:val="none" w:sz="0" w:space="0" w:color="auto"/>
        <w:bottom w:val="none" w:sz="0" w:space="0" w:color="auto"/>
        <w:right w:val="none" w:sz="0" w:space="0" w:color="auto"/>
      </w:divBdr>
    </w:div>
    <w:div w:id="926621394">
      <w:bodyDiv w:val="1"/>
      <w:marLeft w:val="0"/>
      <w:marRight w:val="0"/>
      <w:marTop w:val="0"/>
      <w:marBottom w:val="0"/>
      <w:divBdr>
        <w:top w:val="none" w:sz="0" w:space="0" w:color="auto"/>
        <w:left w:val="none" w:sz="0" w:space="0" w:color="auto"/>
        <w:bottom w:val="none" w:sz="0" w:space="0" w:color="auto"/>
        <w:right w:val="none" w:sz="0" w:space="0" w:color="auto"/>
      </w:divBdr>
    </w:div>
    <w:div w:id="961618313">
      <w:bodyDiv w:val="1"/>
      <w:marLeft w:val="0"/>
      <w:marRight w:val="0"/>
      <w:marTop w:val="0"/>
      <w:marBottom w:val="0"/>
      <w:divBdr>
        <w:top w:val="none" w:sz="0" w:space="0" w:color="auto"/>
        <w:left w:val="none" w:sz="0" w:space="0" w:color="auto"/>
        <w:bottom w:val="none" w:sz="0" w:space="0" w:color="auto"/>
        <w:right w:val="none" w:sz="0" w:space="0" w:color="auto"/>
      </w:divBdr>
    </w:div>
    <w:div w:id="965890051">
      <w:bodyDiv w:val="1"/>
      <w:marLeft w:val="0"/>
      <w:marRight w:val="0"/>
      <w:marTop w:val="0"/>
      <w:marBottom w:val="0"/>
      <w:divBdr>
        <w:top w:val="none" w:sz="0" w:space="0" w:color="auto"/>
        <w:left w:val="none" w:sz="0" w:space="0" w:color="auto"/>
        <w:bottom w:val="none" w:sz="0" w:space="0" w:color="auto"/>
        <w:right w:val="none" w:sz="0" w:space="0" w:color="auto"/>
      </w:divBdr>
      <w:divsChild>
        <w:div w:id="1398092868">
          <w:marLeft w:val="1435"/>
          <w:marRight w:val="0"/>
          <w:marTop w:val="0"/>
          <w:marBottom w:val="0"/>
          <w:divBdr>
            <w:top w:val="none" w:sz="0" w:space="0" w:color="auto"/>
            <w:left w:val="none" w:sz="0" w:space="0" w:color="auto"/>
            <w:bottom w:val="none" w:sz="0" w:space="0" w:color="auto"/>
            <w:right w:val="none" w:sz="0" w:space="0" w:color="auto"/>
          </w:divBdr>
        </w:div>
      </w:divsChild>
    </w:div>
    <w:div w:id="1136605432">
      <w:bodyDiv w:val="1"/>
      <w:marLeft w:val="0"/>
      <w:marRight w:val="0"/>
      <w:marTop w:val="0"/>
      <w:marBottom w:val="0"/>
      <w:divBdr>
        <w:top w:val="none" w:sz="0" w:space="0" w:color="auto"/>
        <w:left w:val="none" w:sz="0" w:space="0" w:color="auto"/>
        <w:bottom w:val="none" w:sz="0" w:space="0" w:color="auto"/>
        <w:right w:val="none" w:sz="0" w:space="0" w:color="auto"/>
      </w:divBdr>
    </w:div>
    <w:div w:id="1216087689">
      <w:bodyDiv w:val="1"/>
      <w:marLeft w:val="0"/>
      <w:marRight w:val="0"/>
      <w:marTop w:val="0"/>
      <w:marBottom w:val="0"/>
      <w:divBdr>
        <w:top w:val="none" w:sz="0" w:space="0" w:color="auto"/>
        <w:left w:val="none" w:sz="0" w:space="0" w:color="auto"/>
        <w:bottom w:val="none" w:sz="0" w:space="0" w:color="auto"/>
        <w:right w:val="none" w:sz="0" w:space="0" w:color="auto"/>
      </w:divBdr>
    </w:div>
    <w:div w:id="1226186173">
      <w:bodyDiv w:val="1"/>
      <w:marLeft w:val="0"/>
      <w:marRight w:val="0"/>
      <w:marTop w:val="0"/>
      <w:marBottom w:val="0"/>
      <w:divBdr>
        <w:top w:val="none" w:sz="0" w:space="0" w:color="auto"/>
        <w:left w:val="none" w:sz="0" w:space="0" w:color="auto"/>
        <w:bottom w:val="none" w:sz="0" w:space="0" w:color="auto"/>
        <w:right w:val="none" w:sz="0" w:space="0" w:color="auto"/>
      </w:divBdr>
    </w:div>
    <w:div w:id="1229538761">
      <w:bodyDiv w:val="1"/>
      <w:marLeft w:val="0"/>
      <w:marRight w:val="0"/>
      <w:marTop w:val="0"/>
      <w:marBottom w:val="0"/>
      <w:divBdr>
        <w:top w:val="none" w:sz="0" w:space="0" w:color="auto"/>
        <w:left w:val="none" w:sz="0" w:space="0" w:color="auto"/>
        <w:bottom w:val="none" w:sz="0" w:space="0" w:color="auto"/>
        <w:right w:val="none" w:sz="0" w:space="0" w:color="auto"/>
      </w:divBdr>
    </w:div>
    <w:div w:id="1258442344">
      <w:bodyDiv w:val="1"/>
      <w:marLeft w:val="0"/>
      <w:marRight w:val="0"/>
      <w:marTop w:val="0"/>
      <w:marBottom w:val="0"/>
      <w:divBdr>
        <w:top w:val="none" w:sz="0" w:space="0" w:color="auto"/>
        <w:left w:val="none" w:sz="0" w:space="0" w:color="auto"/>
        <w:bottom w:val="none" w:sz="0" w:space="0" w:color="auto"/>
        <w:right w:val="none" w:sz="0" w:space="0" w:color="auto"/>
      </w:divBdr>
    </w:div>
    <w:div w:id="1294556196">
      <w:bodyDiv w:val="1"/>
      <w:marLeft w:val="0"/>
      <w:marRight w:val="0"/>
      <w:marTop w:val="0"/>
      <w:marBottom w:val="0"/>
      <w:divBdr>
        <w:top w:val="none" w:sz="0" w:space="0" w:color="auto"/>
        <w:left w:val="none" w:sz="0" w:space="0" w:color="auto"/>
        <w:bottom w:val="none" w:sz="0" w:space="0" w:color="auto"/>
        <w:right w:val="none" w:sz="0" w:space="0" w:color="auto"/>
      </w:divBdr>
    </w:div>
    <w:div w:id="1559635236">
      <w:bodyDiv w:val="1"/>
      <w:marLeft w:val="0"/>
      <w:marRight w:val="0"/>
      <w:marTop w:val="0"/>
      <w:marBottom w:val="0"/>
      <w:divBdr>
        <w:top w:val="none" w:sz="0" w:space="0" w:color="auto"/>
        <w:left w:val="none" w:sz="0" w:space="0" w:color="auto"/>
        <w:bottom w:val="none" w:sz="0" w:space="0" w:color="auto"/>
        <w:right w:val="none" w:sz="0" w:space="0" w:color="auto"/>
      </w:divBdr>
    </w:div>
    <w:div w:id="1760059251">
      <w:bodyDiv w:val="1"/>
      <w:marLeft w:val="0"/>
      <w:marRight w:val="0"/>
      <w:marTop w:val="0"/>
      <w:marBottom w:val="0"/>
      <w:divBdr>
        <w:top w:val="none" w:sz="0" w:space="0" w:color="auto"/>
        <w:left w:val="none" w:sz="0" w:space="0" w:color="auto"/>
        <w:bottom w:val="none" w:sz="0" w:space="0" w:color="auto"/>
        <w:right w:val="none" w:sz="0" w:space="0" w:color="auto"/>
      </w:divBdr>
    </w:div>
    <w:div w:id="1825461925">
      <w:bodyDiv w:val="1"/>
      <w:marLeft w:val="0"/>
      <w:marRight w:val="0"/>
      <w:marTop w:val="0"/>
      <w:marBottom w:val="0"/>
      <w:divBdr>
        <w:top w:val="none" w:sz="0" w:space="0" w:color="auto"/>
        <w:left w:val="none" w:sz="0" w:space="0" w:color="auto"/>
        <w:bottom w:val="none" w:sz="0" w:space="0" w:color="auto"/>
        <w:right w:val="none" w:sz="0" w:space="0" w:color="auto"/>
      </w:divBdr>
    </w:div>
    <w:div w:id="1830054649">
      <w:bodyDiv w:val="1"/>
      <w:marLeft w:val="0"/>
      <w:marRight w:val="0"/>
      <w:marTop w:val="0"/>
      <w:marBottom w:val="0"/>
      <w:divBdr>
        <w:top w:val="none" w:sz="0" w:space="0" w:color="auto"/>
        <w:left w:val="none" w:sz="0" w:space="0" w:color="auto"/>
        <w:bottom w:val="none" w:sz="0" w:space="0" w:color="auto"/>
        <w:right w:val="none" w:sz="0" w:space="0" w:color="auto"/>
      </w:divBdr>
    </w:div>
    <w:div w:id="1949579934">
      <w:bodyDiv w:val="1"/>
      <w:marLeft w:val="0"/>
      <w:marRight w:val="0"/>
      <w:marTop w:val="0"/>
      <w:marBottom w:val="0"/>
      <w:divBdr>
        <w:top w:val="none" w:sz="0" w:space="0" w:color="auto"/>
        <w:left w:val="none" w:sz="0" w:space="0" w:color="auto"/>
        <w:bottom w:val="none" w:sz="0" w:space="0" w:color="auto"/>
        <w:right w:val="none" w:sz="0" w:space="0" w:color="auto"/>
      </w:divBdr>
    </w:div>
    <w:div w:id="2096436959">
      <w:bodyDiv w:val="1"/>
      <w:marLeft w:val="0"/>
      <w:marRight w:val="0"/>
      <w:marTop w:val="0"/>
      <w:marBottom w:val="0"/>
      <w:divBdr>
        <w:top w:val="none" w:sz="0" w:space="0" w:color="auto"/>
        <w:left w:val="none" w:sz="0" w:space="0" w:color="auto"/>
        <w:bottom w:val="none" w:sz="0" w:space="0" w:color="auto"/>
        <w:right w:val="none" w:sz="0" w:space="0" w:color="auto"/>
      </w:divBdr>
      <w:divsChild>
        <w:div w:id="36603203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wC">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04C1-9FE3-4686-8E88-27384DFE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29</Pages>
  <Words>10499</Words>
  <Characters>57749</Characters>
  <Application>Microsoft Office Word</Application>
  <DocSecurity>0</DocSecurity>
  <Lines>481</Lines>
  <Paragraphs>136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Kiame</dc:creator>
  <cp:keywords/>
  <dc:description/>
  <cp:lastModifiedBy>Severine VERWILGHEN</cp:lastModifiedBy>
  <cp:revision>3</cp:revision>
  <cp:lastPrinted>2019-11-15T11:21:00Z</cp:lastPrinted>
  <dcterms:created xsi:type="dcterms:W3CDTF">2020-07-23T10:16:00Z</dcterms:created>
  <dcterms:modified xsi:type="dcterms:W3CDTF">2020-07-23T17:31:00Z</dcterms:modified>
</cp:coreProperties>
</file>